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rId49.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E. Taylor</w:t>
      </w:r>
      <w:r>
        <w:rPr>
          <w:vertAlign w:val="superscript"/>
        </w:rPr>
        <w:t xml:space="preserve">1</w:t>
      </w:r>
      <w:r>
        <w:t xml:space="preserve">,</w:t>
      </w:r>
      <w:r>
        <w:t xml:space="preserve"> </w:t>
      </w:r>
      <w:r>
        <w:t xml:space="preserve">Sarah N. Inwood</w:t>
      </w:r>
      <w:r>
        <w:rPr>
          <w:vertAlign w:val="superscript"/>
        </w:rPr>
        <w:t xml:space="preserve">1</w:t>
      </w:r>
      <w:r>
        <w:t xml:space="preserve">,</w:t>
      </w:r>
      <w:r>
        <w:t xml:space="preserve"> </w:t>
      </w:r>
      <w:r>
        <w:t xml:space="preserve">Tracey van Stijn</w:t>
      </w:r>
      <w:r>
        <w:rPr>
          <w:vertAlign w:val="superscript"/>
        </w:rPr>
        <w:t xml:space="preserve">3</w:t>
      </w:r>
      <w:r>
        <w:t xml:space="preserve">,</w:t>
      </w:r>
      <w:r>
        <w:t xml:space="preserve"> </w:t>
      </w:r>
      <w:r>
        <w:t xml:space="preserve">Hannah Henry</w:t>
      </w:r>
      <w:r>
        <w:rPr>
          <w:vertAlign w:val="superscript"/>
        </w:rPr>
        <w:t xml:space="preserve">3</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L. Ashby</w:t>
      </w:r>
      <w:r>
        <w:rPr>
          <w:vertAlign w:val="superscript"/>
        </w:rPr>
        <w:t xml:space="preserve">3</w:t>
      </w:r>
      <w:r>
        <w:t xml:space="preserve">,</w:t>
      </w:r>
      <w:r>
        <w:t xml:space="preserve"> </w:t>
      </w:r>
      <w:r>
        <w:t xml:space="preserve">Jeanne M.E. Jacobs</w:t>
      </w:r>
      <w:r>
        <w:rPr>
          <w:vertAlign w:val="superscript"/>
        </w:rPr>
        <w:t xml:space="preserve">4,5</w:t>
      </w:r>
      <w:r>
        <w:t xml:space="preserve">,</w:t>
      </w:r>
      <w:r>
        <w:t xml:space="preserve"> </w:t>
      </w:r>
      <w:r>
        <w:t xml:space="preserve">Stephen Goldson</w:t>
      </w:r>
      <w:r>
        <w:rPr>
          <w:vertAlign w:val="superscript"/>
        </w:rPr>
        <w:t xml:space="preserve">4,5</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Grasslands Research Centre, Palmerston north 4410, New Zealand.</w:t>
      </w:r>
      <w:r>
        <w:br/>
      </w:r>
      <w:r>
        <w:rPr>
          <w:vertAlign w:val="superscript"/>
        </w:rPr>
        <w:t xml:space="preserve">3</w:t>
      </w:r>
      <w:r>
        <w:t xml:space="preserve"> </w:t>
      </w:r>
      <w:r>
        <w:t xml:space="preserve">AgResearch, Invermay Agricultural Centre, Private Bag 50034, Mosgiel, New Zealand</w:t>
      </w:r>
      <w:r>
        <w:br/>
      </w:r>
      <w:r>
        <w:rPr>
          <w:vertAlign w:val="superscript"/>
        </w:rPr>
        <w:t xml:space="preserve">4</w:t>
      </w:r>
      <w:r>
        <w:t xml:space="preserve"> </w:t>
      </w:r>
      <w:r>
        <w:t xml:space="preserve">AgResearch, Lincoln Science Centre, Private Bag 4749, Christchurch 8140, New Zealand.</w:t>
      </w:r>
      <w:r>
        <w:br/>
      </w:r>
      <w:r>
        <w:rPr>
          <w:vertAlign w:val="superscript"/>
        </w:rPr>
        <w:t xml:space="preserve">5</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pStyle w:val="FirstParagraph"/>
      </w:pPr>
      <w:r>
        <w:t xml:space="preserve">Modified, agricultural landscapes are susceptible to damage by insect pests.</w:t>
      </w:r>
      <w:r>
        <w:t xml:space="preserve"> </w:t>
      </w:r>
      <w:r>
        <w:t xml:space="preserve">Biological control of pests is typically successful once the control agent is established, but this depends on the agent’s ability to adapt to evolution in the host.</w:t>
      </w:r>
      <w:r>
        <w:t xml:space="preserve"> </w:t>
      </w:r>
      <w:r>
        <w:t xml:space="preserve">Theoretical studies have shown that unequal genetic variation between the host and the control agent will lead to rapid evolution of resistance in the host, but cases of this have not been documented in the field.</w:t>
      </w:r>
    </w:p>
    <w:p>
      <w:pPr>
        <w:pStyle w:val="TextBody"/>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r>
        <w:t xml:space="preserve"> </w:t>
      </w:r>
      <w:r>
        <w:t xml:space="preserve">We constructed a draft reference genome of the weevil, collected samples from a geographical survey of 10 sites around New Zealand, and genotyped them using a modified genotyping-by-sequencing approach.</w:t>
      </w:r>
    </w:p>
    <w:p>
      <w:pPr>
        <w:pStyle w:val="TextBody"/>
      </w:pPr>
      <w:r>
        <w:t xml:space="preserve">New Zealand populations of Argentine stem weevil have high levels of heterozygosity and low population structure, consistent with a large effective population size and frequent gene flow.</w:t>
      </w:r>
      <w:r>
        <w:t xml:space="preserve"> </w:t>
      </w:r>
      <w:r>
        <w:t xml:space="preserve">This implies that Argentine stem weevils were able to evolve more rapidly than its biocontrol agent, which reproduces asexually.</w:t>
      </w:r>
      <w:r>
        <w:t xml:space="preserve"> </w:t>
      </w:r>
      <w:r>
        <w:t xml:space="preserve">These findings show that monitoring genetic diversity in biocontrol agents and their targets is critical for long-term success of biological control.</w:t>
      </w:r>
    </w:p>
    <w:p>
      <w:pPr>
        <w:pStyle w:val="Heading3"/>
      </w:pPr>
      <w:bookmarkStart w:id="22" w:name="keywords"/>
      <w:r>
        <w:t xml:space="preserve">Keywords</w:t>
      </w:r>
      <w:bookmarkEnd w:id="22"/>
    </w:p>
    <w:p>
      <w:pPr>
        <w:pStyle w:val="FirstParagraph"/>
      </w:pPr>
      <w:r>
        <w:t xml:space="preserve">Biological control</w:t>
      </w:r>
      <w:r>
        <w:br/>
      </w:r>
      <w:r>
        <w:t xml:space="preserve">Invasive species</w:t>
      </w:r>
      <w:r>
        <w:br/>
      </w:r>
      <w:r>
        <w:t xml:space="preserve">Argentine stem weevil</w:t>
      </w:r>
      <w:r>
        <w:br/>
      </w:r>
      <w:r>
        <w:t xml:space="preserve">Population genetics</w:t>
      </w:r>
      <w:r>
        <w:br/>
      </w:r>
      <w:r>
        <w:t xml:space="preserve">Genotyping-by-sequencing</w:t>
      </w:r>
      <w:r>
        <w:t xml:space="preserve"> </w:t>
      </w:r>
    </w:p>
    <w:p>
      <w:pPr>
        <w:pStyle w:val="Heading2"/>
      </w:pPr>
      <w:bookmarkStart w:id="23" w:name="introduction"/>
      <w:r>
        <w:t xml:space="preserve">Introduction</w:t>
      </w:r>
      <w:bookmarkEnd w:id="23"/>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landscapes that suffer severe pest impacts</w:t>
      </w:r>
      <w:r>
        <w:t xml:space="preserve"> </w:t>
      </w:r>
      <w:r>
        <w:t xml:space="preserve">[5]</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[6]</w:t>
      </w:r>
      <w:r>
        <w:t xml:space="preserve">.</w:t>
      </w:r>
      <w:r>
        <w:t xml:space="preserve"> </w:t>
      </w:r>
      <w:r>
        <w:t xml:space="preserve">In New Zealand, ASW reaches densities of 700 adults per square metre and causes economic impacts up to NZ$200M per annum</w:t>
      </w:r>
      <w:r>
        <w:t xml:space="preserve"> </w:t>
      </w:r>
      <w:r>
        <w:t xml:space="preserve">[5,7,8]</w:t>
      </w:r>
      <w:r>
        <w:t xml:space="preserve">.</w:t>
      </w:r>
      <w:r>
        <w:t xml:space="preserve"> </w:t>
      </w:r>
      <w:r>
        <w:t xml:space="preserve">Conventional chemical control of ASW is ineffective, environmentally damaging and uneconomical (reviewed in</w:t>
      </w:r>
      <w:r>
        <w:t xml:space="preserve"> </w:t>
      </w:r>
      <w:r>
        <w:t xml:space="preserve">[9]</w:t>
      </w:r>
      <w:r>
        <w:t xml:space="preserve">;</w:t>
      </w:r>
      <w:r>
        <w:t xml:space="preserve"> </w:t>
      </w:r>
      <w:r>
        <w:t xml:space="preserve">[10]</w:t>
      </w:r>
      <w:r>
        <w:t xml:space="preserve">), because the stem-mining larvae avoid direct contact with the pesticides</w:t>
      </w:r>
      <w:r>
        <w:t xml:space="preserve"> </w:t>
      </w:r>
      <w:r>
        <w:t xml:space="preserve">[9]</w:t>
      </w:r>
      <w:r>
        <w:t xml:space="preserve">.</w:t>
      </w:r>
      <w:r>
        <w:t xml:space="preserve"> </w:t>
      </w:r>
      <w:r>
        <w:t xml:space="preserve">To complement endophyte-based plant resistance</w:t>
      </w:r>
      <w:r>
        <w:t xml:space="preserve"> </w:t>
      </w:r>
      <w:r>
        <w:t xml:space="preserve">[11,12]</w:t>
      </w:r>
      <w:r>
        <w:t xml:space="preserve">, the solitary wasp</w:t>
      </w:r>
      <w:r>
        <w:t xml:space="preserve"> </w:t>
      </w:r>
      <w:r>
        <w:rPr>
          <w:i/>
        </w:rPr>
        <w:t xml:space="preserve">Microctonus hyperodae</w:t>
      </w:r>
      <w:r>
        <w:t xml:space="preserve"> </w:t>
      </w:r>
      <w:r>
        <w:t xml:space="preserve">Loan (Hymenoptera: Braconidae) was released for biological control of ASW 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[13]</w:t>
      </w:r>
      <w:r>
        <w:t xml:space="preserve">, reducing or eliminating damage by ASW</w:t>
      </w:r>
      <w:r>
        <w:t xml:space="preserve"> </w:t>
      </w:r>
      <w:r>
        <w:t xml:space="preserve">[13–15]</w:t>
      </w:r>
      <w:r>
        <w:t xml:space="preserve">.</w:t>
      </w:r>
    </w:p>
    <w:p>
      <w:pPr>
        <w:pStyle w:val="TextBody"/>
      </w:pPr>
      <w:r>
        <w:t xml:space="preserve">Although ASW was initially well-managed by</w:t>
      </w:r>
      <w:r>
        <w:t xml:space="preserve"> </w:t>
      </w:r>
      <w:r>
        <w:rPr>
          <w:i/>
        </w:rPr>
        <w:t xml:space="preserve">M. hyperodae</w:t>
      </w:r>
      <w:r>
        <w:t xml:space="preserve">, suppression of the weevil by</w:t>
      </w:r>
      <w:r>
        <w:t xml:space="preserve"> </w:t>
      </w:r>
      <w:r>
        <w:rPr>
          <w:i/>
        </w:rPr>
        <w:t xml:space="preserve">M. hyperodae</w:t>
      </w:r>
      <w:r>
        <w:t xml:space="preserve"> </w:t>
      </w:r>
      <w:r>
        <w:t xml:space="preserve">began to fail after about 14 generations</w:t>
      </w:r>
      <w:r>
        <w:t xml:space="preserve"> </w:t>
      </w:r>
      <w:r>
        <w:t xml:space="preserve">[16–18]</w:t>
      </w:r>
      <w:r>
        <w:t xml:space="preserve">.</w:t>
      </w:r>
      <w:r>
        <w:t xml:space="preserve"> </w:t>
      </w:r>
      <w:r>
        <w:t xml:space="preserve">This loss of efficacy may be the result of adaptation in weevil populations resulting from selection pressure by the parasitoid</w:t>
      </w:r>
      <w:r>
        <w:t xml:space="preserve"> </w:t>
      </w:r>
      <w:r>
        <w:t xml:space="preserve">[17,18]</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[19]</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[20]</w:t>
      </w:r>
      <w:r>
        <w:t xml:space="preserve">.</w:t>
      </w:r>
    </w:p>
    <w:p>
      <w:pPr>
        <w:pStyle w:val="TextBody"/>
      </w:pPr>
      <w:r>
        <w:t xml:space="preserve">Population-level studies of genetic variation in host and parasitoid are required to explain the evolution of resistance in this case.</w:t>
      </w:r>
      <w:r>
        <w:t xml:space="preserve"> </w:t>
      </w:r>
      <w:r>
        <w:t xml:space="preserve">We address this with genotyping-by-sequencing of a geographical survey of Argentine stem weevil populations distributed across New Zealand.</w:t>
      </w:r>
      <w:r>
        <w:t xml:space="preserve"> </w:t>
      </w:r>
      <w:r>
        <w:t xml:space="preserve">Our experiments revealed a repetitive genome with high heterozygosity and a high proportion of unstructured variation across 10 populations from the North and South islands of New Zealand.</w:t>
      </w:r>
      <w:r>
        <w:t xml:space="preserve"> </w:t>
      </w:r>
      <w:r>
        <w:t xml:space="preserve">This is consistent with large effective population size and gene flow between populations.</w:t>
      </w:r>
      <w:r>
        <w:t xml:space="preserve"> </w:t>
      </w:r>
      <w:r>
        <w:t xml:space="preserve">Genetic variation found along a latitudinal cline was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[21,22]</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4" w:name="materials-and-methods"/>
      <w:r>
        <w:t xml:space="preserve">Materials and methods</w:t>
      </w:r>
      <w:bookmarkEnd w:id="24"/>
    </w:p>
    <w:p>
      <w:pPr>
        <w:pStyle w:val="Heading3"/>
      </w:pPr>
      <w:bookmarkStart w:id="25" w:name="weevil-sampling"/>
      <w:r>
        <w:t xml:space="preserve">Weevil sampling</w:t>
      </w:r>
      <w:bookmarkEnd w:id="25"/>
    </w:p>
    <w:p>
      <w:pPr>
        <w:pStyle w:val="FirstParagraph"/>
      </w:pPr>
      <w:r>
        <w:t xml:space="preserve">We collected regional ASW samples from commercially-farmed ryegrass (</w:t>
      </w:r>
      <w:r>
        <w:rPr>
          <w:i/>
        </w:rPr>
        <w:t xml:space="preserve">Lolium perenne</w:t>
      </w:r>
      <w:r>
        <w:t xml:space="preserve"> </w:t>
      </w:r>
      <w:r>
        <w:t xml:space="preserve">L.) / white clover (</w:t>
      </w:r>
      <w:r>
        <w:rPr>
          <w:i/>
        </w:rPr>
        <w:t xml:space="preserve">Trifolium repens</w:t>
      </w:r>
      <w:r>
        <w:t xml:space="preserve"> </w:t>
      </w:r>
      <w:r>
        <w:t xml:space="preserve">L.) pastures using a suction device to collect ground litter (Table 1).</w:t>
      </w:r>
      <w:r>
        <w:t xml:space="preserve"> </w:t>
      </w:r>
      <w:r>
        <w:t xml:space="preserve">Weevils were extracted from the litter in the laboratory.</w:t>
      </w:r>
      <w:r>
        <w:t xml:space="preserve"> </w:t>
      </w:r>
      <w:r>
        <w:t xml:space="preserve">The locations are illustrated in Figure 1.</w:t>
      </w:r>
      <w:r>
        <w:t xml:space="preserve"> </w:t>
      </w:r>
      <w:r>
        <w:t xml:space="preserve">The map was plotted with the ggmap package for ggplot2</w:t>
      </w:r>
      <w:r>
        <w:t xml:space="preserve"> </w:t>
      </w:r>
      <w:r>
        <w:t xml:space="preserve">[23]</w:t>
      </w:r>
      <w:r>
        <w:t xml:space="preserve"> </w:t>
      </w:r>
      <w:r>
        <w:t xml:space="preserve">using 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t>
      </w:r>
      <w:r>
        <w:t xml:space="preserve">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(as in Table 1) in August 2017.</w:t>
      </w:r>
      <w:r>
        <w:t xml:space="preserve"> </w:t>
      </w:r>
      <w:r>
        <w:t xml:space="preserve">These samples were dissected as per Goldson and Emberson</w:t>
      </w:r>
      <w:r>
        <w:t xml:space="preserve"> </w:t>
      </w:r>
      <w:r>
        <w:t xml:space="preserve">[24]</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p>
    <w:tbl>
      <w:tblPr>
        <w:tblStyle w:val="Table"/>
        <w:tblW w:type="pct" w:w="0.0"/>
        <w:tblLook w:firstRow="1"/>
        <w:tblCaption w:val="Table 1. Weevil collection locations (see also Figure 1)."/>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r>
    </w:tbl>
    <w:p>
      <w:pPr>
        <w:pStyle w:val="Heading3"/>
      </w:pPr>
      <w:bookmarkStart w:id="30" w:name="genome-assembly"/>
      <w:r>
        <w:t xml:space="preserve">Genome assembly</w:t>
      </w:r>
      <w:bookmarkEnd w:id="30"/>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[25]</w:t>
      </w:r>
      <w:r>
        <w:t xml:space="preserve">, the short-read-only genome was assembled with meraculous 2.2.6</w:t>
      </w:r>
      <w:r>
        <w:t xml:space="preserve"> </w:t>
      </w:r>
      <w:r>
        <w:t xml:space="preserve">[26–28]</w:t>
      </w:r>
      <w:r>
        <w:t xml:space="preserve">.</w:t>
      </w:r>
      <w:r>
        <w:t xml:space="preserve"> </w:t>
      </w:r>
      <w:r>
        <w:t xml:space="preserve">Reproducible code for assembling the short-read dataset and assessing the assemblies is hosted at</w:t>
      </w:r>
      <w:r>
        <w:t xml:space="preserve"> </w:t>
      </w:r>
      <w:hyperlink r:id="rId31">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[29]</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2">
        <w:r>
          <w:rPr>
            <w:rStyle w:val="InternetLink"/>
          </w:rPr>
          <w:t xml:space="preserve">github.com/rrwick/Porechop</w:t>
        </w:r>
      </w:hyperlink>
      <w:r>
        <w:t xml:space="preserve">) and assembled with Flye 2.6</w:t>
      </w:r>
      <w:r>
        <w:t xml:space="preserve"> </w:t>
      </w:r>
      <w:r>
        <w:t xml:space="preserve">[30]</w:t>
      </w:r>
      <w:r>
        <w:t xml:space="preserve">.</w:t>
      </w:r>
    </w:p>
    <w:p>
      <w:pPr>
        <w:pStyle w:val="TextBody"/>
      </w:pPr>
      <w:r>
        <w:t xml:space="preserve">All genome assemblies were assessed by size and contiguity statistics and BUSCO analysis</w:t>
      </w:r>
      <w:r>
        <w:t xml:space="preserve"> </w:t>
      </w:r>
      <w:r>
        <w:t xml:space="preserve">[31]</w:t>
      </w:r>
      <w:r>
        <w:t xml:space="preserve">.</w:t>
      </w:r>
      <w:r>
        <w:t xml:space="preserve"> </w:t>
      </w:r>
      <w:r>
        <w:t xml:space="preserve">Redundant contigs were removed from the combined, long read assembly with Purge Haplotigs 0b9afdf</w:t>
      </w:r>
      <w:r>
        <w:t xml:space="preserve"> </w:t>
      </w:r>
      <w:r>
        <w:t xml:space="preserve">[32]</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[33]</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[34]</w:t>
      </w:r>
      <w:r>
        <w:t xml:space="preserve">.</w:t>
      </w:r>
      <w:r>
        <w:t xml:space="preserve"> </w:t>
      </w:r>
      <w:r>
        <w:t xml:space="preserve">We then used RepeatModeler 2.0.1</w:t>
      </w:r>
      <w:r>
        <w:t xml:space="preserve"> </w:t>
      </w:r>
      <w:r>
        <w:t xml:space="preserve">[33]</w:t>
      </w:r>
      <w:r>
        <w:t xml:space="preserve"> </w:t>
      </w:r>
      <w:r>
        <w:t xml:space="preserve">and RepeatMasker 4.1.0</w:t>
      </w:r>
      <w:r>
        <w:t xml:space="preserve"> </w:t>
      </w:r>
      <w:r>
        <w:t xml:space="preserve">[35]</w:t>
      </w:r>
      <w:r>
        <w:t xml:space="preserve"> </w:t>
      </w:r>
      <w:r>
        <w:t xml:space="preserve">from the Dfam TE Tools Container v1.1 (</w:t>
      </w:r>
      <w:hyperlink r:id="rId33">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indicating that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We annotated the final, draft assembly with funannotate 1.7.4</w:t>
      </w:r>
      <w:r>
        <w:t xml:space="preserve"> </w:t>
      </w:r>
      <w:r>
        <w:t xml:space="preserve">[34]</w:t>
      </w:r>
      <w:r>
        <w:t xml:space="preserve">, using five RNA sequencing libraries generated from abdomens and heads of unparasitised adult ASW collected from Lincoln and Ruakura.</w:t>
      </w:r>
      <w:r>
        <w:t xml:space="preserve"> </w:t>
      </w:r>
      <w:r>
        <w:t xml:space="preserve">Reproducible code for annotating the draft ASW genome is hosted at</w:t>
      </w:r>
      <w:r>
        <w:t xml:space="preserve"> </w:t>
      </w:r>
      <w:hyperlink r:id="rId35">
        <w:r>
          <w:rPr>
            <w:rStyle w:val="InternetLink"/>
          </w:rPr>
          <w:t xml:space="preserve">github.com/TomHarrop/asw-annotate</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t xml:space="preserve">DNA extraction and double digest RADseq [genotyping-by-sequencing, GBS;</w:t>
      </w:r>
      <w:r>
        <w:t xml:space="preserve"> </w:t>
      </w:r>
      <w:r>
        <w:t xml:space="preserve">[36]</w:t>
      </w:r>
      <w:r>
        <w:t xml:space="preserve"> </w:t>
      </w:r>
      <w:r>
        <w:t xml:space="preserve">were performed by AgResearch, Invermay, New Zealand.</w:t>
      </w:r>
      <w:r>
        <w:t xml:space="preserve"> </w:t>
      </w:r>
      <w:r>
        <w:t xml:space="preserve">DNA was extracted from individual weevil heads using the ZR-96 Tissue &amp; Insect DNA Kit (Zymo Research, CA, U.S.A.).</w:t>
      </w:r>
      <w:r>
        <w:t xml:space="preserve"> </w:t>
      </w:r>
      <w:r>
        <w:t xml:space="preserve">The DNA was digested with</w:t>
      </w:r>
      <w:r>
        <w:t xml:space="preserve"> </w:t>
      </w:r>
      <w:r>
        <w:rPr>
          <w:i/>
        </w:rPr>
        <w:t xml:space="preserve">Ape</w:t>
      </w:r>
      <w:r>
        <w:t xml:space="preserve">KI and</w:t>
      </w:r>
      <w:r>
        <w:t xml:space="preserve"> </w:t>
      </w:r>
      <w:r>
        <w:rPr>
          <w:i/>
        </w:rPr>
        <w:t xml:space="preserve">Msp</w:t>
      </w:r>
      <w:r>
        <w:t xml:space="preserve">I and size selected on a BluePippin (Sage Science, MA, U.S.A.) with a window size of 150–500 bp.</w:t>
      </w:r>
      <w:r>
        <w:t xml:space="preserve"> </w:t>
      </w:r>
      <w:r>
        <w:t xml:space="preserve">Individual libraries were barcoded and sequencing adaptors were added based on the Elshire method</w:t>
      </w:r>
      <w:r>
        <w:t xml:space="preserve"> </w:t>
      </w:r>
      <w:r>
        <w:t xml:space="preserve">[37]</w:t>
      </w:r>
      <w:r>
        <w:t xml:space="preserve"> </w:t>
      </w:r>
      <w:r>
        <w:t xml:space="preserve">with modifications</w:t>
      </w:r>
      <w:r>
        <w:t xml:space="preserve"> </w:t>
      </w:r>
      <w:r>
        <w:t xml:space="preserve">[38]</w:t>
      </w:r>
      <w:r>
        <w:t xml:space="preserve">, and 100 b single-end reads were generated from pooled libraries an Illumina HiSeq 2500 instrument.</w:t>
      </w:r>
    </w:p>
    <w:p>
      <w:pPr>
        <w:pStyle w:val="TextBody"/>
      </w:pPr>
      <w:r>
        <w:t xml:space="preserve">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[39]</w:t>
      </w:r>
      <w:r>
        <w:t xml:space="preserve">.</w:t>
      </w:r>
    </w:p>
    <w:p>
      <w:pPr>
        <w:pStyle w:val="TextBody"/>
      </w:pPr>
      <w:r>
        <w:t xml:space="preserve">For analysis, we used bcftools to remove sites with more than 2 alleles, minor allele frequency &lt; 0.05, or missing genotypes in more than 20% of individuals.</w:t>
      </w:r>
      <w:r>
        <w:t xml:space="preserve"> </w:t>
      </w:r>
      <w:r>
        <w:t xml:space="preserve">After filtering loci, we also removed individuals that had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[39]</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[40]</w:t>
      </w:r>
      <w:r>
        <w:t xml:space="preserve"> </w:t>
      </w:r>
      <w:r>
        <w:t xml:space="preserve">to prune sites in linkage disequilibrium for principal components analysis and discriminant analysis of principal components with the adegenet 2.1.2 package for R</w:t>
      </w:r>
      <w:r>
        <w:t xml:space="preserve"> </w:t>
      </w:r>
      <w:r>
        <w:t xml:space="preserve">[41,42]</w:t>
      </w:r>
      <w:r>
        <w:t xml:space="preserve">, using the first four principal components.</w:t>
      </w:r>
      <w:r>
        <w:t xml:space="preserve"> </w:t>
      </w:r>
      <w:r>
        <w:t xml:space="preserve">We used PGDSpider 2.1.1.5</w:t>
      </w:r>
      <w:r>
        <w:t xml:space="preserve"> </w:t>
      </w:r>
      <w:r>
        <w:t xml:space="preserve">[43]</w:t>
      </w:r>
      <w:r>
        <w:t xml:space="preserve"> </w:t>
      </w:r>
      <w:r>
        <w:t xml:space="preserve">to convert the un-pruned dataset for detection of loci under selection with BayeScan 2.1</w:t>
      </w:r>
      <w:r>
        <w:t xml:space="preserve"> </w:t>
      </w:r>
      <w:r>
        <w:t xml:space="preserve">[44]</w:t>
      </w:r>
      <w:r>
        <w:t xml:space="preserve">.</w:t>
      </w:r>
      <w:r>
        <w:t xml:space="preserve"> </w:t>
      </w:r>
      <w:r>
        <w:t xml:space="preserve">We analysed cross-population extended haplotype homozygosity with the R package rehh 3.1.0</w:t>
      </w:r>
      <w:r>
        <w:t xml:space="preserve"> </w:t>
      </w:r>
      <w:r>
        <w:t xml:space="preserve">[45]</w:t>
      </w:r>
      <w:r>
        <w:t xml:space="preserve">.</w:t>
      </w:r>
      <w:r>
        <w:t xml:space="preserve"> </w:t>
      </w:r>
      <w:r>
        <w:t xml:space="preserve">For demographic analysis, we converted the pruned dataset to minor allele (folded) site frequency spectra using easysfs commit c2b26c5 from</w:t>
      </w:r>
      <w:r>
        <w:t xml:space="preserve"> </w:t>
      </w:r>
      <w:hyperlink r:id="rId37">
        <w:r>
          <w:rPr>
            <w:rStyle w:val="InternetLink"/>
          </w:rPr>
          <w:t xml:space="preserve">github.com/isaacovercast/easySFS</w:t>
        </w:r>
      </w:hyperlink>
      <w:r>
        <w:t xml:space="preserve">.</w:t>
      </w:r>
      <w:r>
        <w:t xml:space="preserve"> </w:t>
      </w:r>
      <w:r>
        <w:t xml:space="preserve">We estimated likelihood for each demographic model ten times using</w:t>
      </w:r>
      <w:r>
        <w:t xml:space="preserve"> </w:t>
      </w:r>
      <w:r>
        <w:t xml:space="preserve">fastsimcoal2 2.6</w:t>
      </w:r>
      <w:r>
        <w:t xml:space="preserve"> </w:t>
      </w:r>
      <w:r>
        <w:t xml:space="preserve">[46]</w:t>
      </w:r>
      <w:r>
        <w:t xml:space="preserve"> </w:t>
      </w:r>
      <w:r>
        <w:t xml:space="preserve">with 1 million simulations and 60 optimisation cycles per run.</w:t>
      </w:r>
      <w:r>
        <w:t xml:space="preserve"> </w:t>
      </w:r>
      <w:r>
        <w:t xml:space="preserve">We compared model runs using delta likelihood (maximum observed likelihood - maximum estimated likelihood) and Akaike information criteria</w:t>
      </w:r>
      <w:r>
        <w:t xml:space="preserve"> </w:t>
      </w:r>
      <w:r>
        <w:t xml:space="preserve">[47]</w:t>
      </w:r>
      <w:r>
        <w:t xml:space="preserve">.</w:t>
      </w:r>
    </w:p>
    <w:p>
      <w:pPr>
        <w:pStyle w:val="TextBody"/>
      </w:pPr>
      <w:r>
        <w:t xml:space="preserve">All the code we used to process the raw reads, assemble loci and run downstream analyses is hosted at</w:t>
      </w:r>
      <w:r>
        <w:t xml:space="preserve"> </w:t>
      </w:r>
      <w:hyperlink r:id="rId38">
        <w:r>
          <w:rPr>
            <w:rStyle w:val="InternetLink"/>
          </w:rPr>
          <w:t xml:space="preserve">github.com/TomHarrop/stacks-asw</w:t>
        </w:r>
      </w:hyperlink>
      <w:r>
        <w:t xml:space="preserve">, including the parameters and software containers for each step.</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assembly and annotation and raw GBS reads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[48]</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[49]</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[32]</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r>
        <w:t xml:space="preserve"> </w:t>
      </w:r>
      <w:r>
        <w:t xml:space="preserve">The final draft assembly had a repeat content of at least 70% (Table 2), with a maximum repeat size of 30.4 kb and a repeat</w:t>
      </w:r>
      <w:r>
        <w:t xml:space="preserve"> </w:t>
      </w:r>
      <w:r>
        <w:rPr>
          <w:i/>
        </w:rPr>
        <w:t xml:space="preserve">N</w:t>
      </w:r>
      <w:r>
        <w:rPr>
          <w:vertAlign w:val="subscript"/>
        </w:rPr>
        <w:t xml:space="preserve">50</w:t>
      </w:r>
      <w:r>
        <w:t xml:space="preserve"> </w:t>
      </w:r>
      <w:r>
        <w:t xml:space="preserve">length of 494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Gaps (%)</w:t>
            </w:r>
          </w:p>
        </w:tc>
        <w:tc>
          <w:p>
            <w:pPr>
              <w:pStyle w:val="Compact"/>
              <w:jc w:val="left"/>
            </w:pPr>
            <w:r>
              <w:t xml:space="preserve">3.5</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right"/>
            </w:pPr>
            <w:r>
              <w:t xml:space="preserve">GC content (%)</w:t>
            </w:r>
          </w:p>
        </w:tc>
        <w:tc>
          <w:p>
            <w:pPr>
              <w:pStyle w:val="Compact"/>
              <w:jc w:val="left"/>
            </w:pPr>
            <w:r>
              <w:t xml:space="preserve">30.6</w:t>
            </w:r>
          </w:p>
        </w:tc>
        <w:tc>
          <w:p>
            <w:pPr>
              <w:pStyle w:val="Compact"/>
              <w:jc w:val="left"/>
            </w:pPr>
            <w:r>
              <w:t xml:space="preserve">31.3</w:t>
            </w:r>
          </w:p>
        </w:tc>
        <w:tc>
          <w:p>
            <w:pPr>
              <w:pStyle w:val="Compact"/>
              <w:jc w:val="left"/>
            </w:pPr>
            <w:r>
              <w:t xml:space="preserve">31.4</w:t>
            </w:r>
          </w:p>
        </w:tc>
        <w:tc>
          <w:p>
            <w:pPr>
              <w:pStyle w:val="Compact"/>
              <w:jc w:val="left"/>
            </w:pPr>
            <w:r>
              <w:t xml:space="preserve">31.4</w:t>
            </w:r>
          </w:p>
        </w:tc>
        <w:tc>
          <w:p>
            <w:pPr>
              <w:pStyle w:val="Compact"/>
              <w:jc w:val="left"/>
            </w:pPr>
            <w:r>
              <w:t xml:space="preserve">31.3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[37,38]</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[39]</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[41]</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r>
        <w:t xml:space="preserve"> </w:t>
      </w:r>
      <w:r>
        <w:t xml:space="preserve">This suggests that the Main Divide, which runs along the Southern Alps and divides the South Island, is the main geographic barrier to ASW populations in New Zealand.</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divides the South Island.</w:t>
      </w:r>
      <w:r>
        <w:t xml:space="preserve"> </w:t>
      </w:r>
      <w:r>
        <w:t xml:space="preserve">The number of weevils genotyped from each location is shown on the map.</w:t>
      </w:r>
      <w:r>
        <w:t xml:space="preserve"> </w:t>
      </w:r>
      <w:r>
        <w:t xml:space="preserve">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t>
      </w:r>
      <w:r>
        <w:t xml:space="preserve">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DAPC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declines in parasitism rate recorded at these locations</w:t>
      </w:r>
      <w:r>
        <w:t xml:space="preserve"> </w:t>
      </w:r>
      <w:r>
        <w:t xml:space="preserve">[18]</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[18]</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4).</w:t>
      </w:r>
      <w:r>
        <w:t xml:space="preserve"> </w:t>
      </w:r>
      <w:r>
        <w:t xml:space="preserve">The SNPs identified by BayeScan were an average of 11.5 kb from the nearest genes.</w:t>
      </w:r>
      <w:r>
        <w:t xml:space="preserve"> </w:t>
      </w:r>
      <w:r>
        <w:t xml:space="preserve">None of the closest genes were homologous to genes with characterized functions in insects.</w:t>
      </w:r>
      <w:r>
        <w:t xml:space="preserve"> </w:t>
      </w:r>
      <w:r>
        <w:t xml:space="preserve">Using an additional method, 3 SNPs on another contig had outlying cross-population extended haplotype homozygosity (XPEHH) scores (Table 4;</w:t>
      </w:r>
      <w:r>
        <w:t xml:space="preserve"> </w:t>
      </w:r>
      <w:r>
        <w:t xml:space="preserve">[50,51]</w:t>
      </w:r>
      <w:r>
        <w:t xml:space="preserve">).</w:t>
      </w:r>
      <w:r>
        <w:t xml:space="preserve"> </w:t>
      </w:r>
      <w:r>
        <w:t xml:space="preserve">No common regions were identified by both methods.</w:t>
      </w:r>
    </w:p>
    <w:p>
      <w:pPr>
        <w:pStyle w:val="CaptionedFigure"/>
      </w:pPr>
      <w:r>
        <w:drawing>
          <wp:inline>
            <wp:extent cx="5943600" cy="1977081"/>
            <wp:effectExtent b="0" l="0" r="0" t="0"/>
            <wp:docPr descr="Figure 2. Distribution of SNPs that are associated with altered allele frequencies between populations from North and South of the Main Divide over 24 contigs. 47 SNPs have altered allele frequencies, using the arbitrary Q-value cutoff of 0.01." title="" id="1" name="Picture"/>
            <a:graphic>
              <a:graphicData uri="http://schemas.openxmlformats.org/drawingml/2006/picture">
                <pic:pic>
                  <pic:nvPicPr>
                    <pic:cNvPr descr="fig/figure_2.pdf" id="0" name="Picture"/>
                    <pic:cNvPicPr>
                      <a:picLocks noChangeArrowheads="1" noChangeAspect="1"/>
                    </pic:cNvPicPr>
                  </pic:nvPicPr>
                  <pic:blipFill>
                    <a:blip r:embed="rId47"/>
                    <a:stretch>
                      <a:fillRect/>
                    </a:stretch>
                  </pic:blipFill>
                  <pic:spPr bwMode="auto">
                    <a:xfrm>
                      <a:off x="0" y="0"/>
                      <a:ext cx="5943600" cy="197708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t xml:space="preserve">Distribution of SNPs that are associated with altered allele frequencies between populations from North and South of the Main Divide over 24 contigs.</w:t>
      </w:r>
      <w:r>
        <w:t xml:space="preserve"> </w:t>
      </w:r>
      <w:r>
        <w:t xml:space="preserve">47 SNPs have altered allele frequencies, using the arbitrary</w:t>
      </w:r>
      <w:r>
        <w:t xml:space="preserve"> </w:t>
      </w:r>
      <w:r>
        <w:rPr>
          <w:i/>
        </w:rPr>
        <w:t xml:space="preserve">Q</w:t>
      </w:r>
      <w:r>
        <w:t xml:space="preserve">-value cutoff of 0.01.</w:t>
      </w:r>
    </w:p>
    <w:p>
      <w:pPr>
        <w:pStyle w:val="TableCaption"/>
      </w:pPr>
      <w:r>
        <w:rPr>
          <w:b/>
        </w:rPr>
        <w:t xml:space="preserve">Table 4</w:t>
      </w:r>
      <w:r>
        <w:t xml:space="preserve">.</w:t>
      </w:r>
      <w:r>
        <w:t xml:space="preserve"> </w:t>
      </w:r>
      <w:r>
        <w:t xml:space="preserve">Number of SNPs under selection using BayeScan</w:t>
      </w:r>
      <w:r>
        <w:t xml:space="preserve"> </w:t>
      </w:r>
      <w:r>
        <w:t xml:space="preserve">[44]</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[50,51]</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 Positive values suggest diversifying selection. Positive XPEHH scores suggest selection in the South group, and negative scores suggest selection in the North group.</w:t>
      </w:r>
    </w:p>
    <w:tbl>
      <w:tblPr>
        <w:tblStyle w:val="Table"/>
        <w:tblW w:type="pct" w:w="5000.0"/>
        <w:tblLook w:firstRow="1"/>
        <w:tblCaption w:val="Table 4. Number of SNPs under selection using BayeScan [44] (Q &lt; 0.01) or cross-population extended haplotype homozygosity (XPEHH) analysis [50,51] (-log10p &gt; 4). α is BayeScan’s locus-specific component of FST coefficient [44]. Positive values suggest diversifying selection. Positive XPEHH scores suggest selection in the South group, and negative scores suggest selection in the North group."/>
      </w:tblPr>
      <w:tblGrid>
        <w:gridCol w:w="1141"/>
        <w:gridCol w:w="536"/>
        <w:gridCol w:w="738"/>
        <w:gridCol w:w="1409"/>
        <w:gridCol w:w="1006"/>
        <w:gridCol w:w="536"/>
        <w:gridCol w:w="1275"/>
        <w:gridCol w:w="1275"/>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0</w:t>
            </w:r>
          </w:p>
        </w:tc>
        <w:tc>
          <w:p/>
        </w:tc>
        <w:tc>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contig_2544</w:t>
            </w:r>
          </w:p>
        </w:tc>
        <w:tc>
          <w:p>
            <w:pPr>
              <w:pStyle w:val="Compact"/>
              <w:jc w:val="left"/>
            </w:pPr>
            <w:r>
              <w:t xml:space="preserve">65</w:t>
            </w:r>
          </w:p>
        </w:tc>
        <w:tc>
          <w:p>
            <w:pPr>
              <w:pStyle w:val="Compact"/>
              <w:jc w:val="left"/>
            </w:pPr>
            <w:r>
              <w:t xml:space="preserve">0</w:t>
            </w:r>
          </w:p>
        </w:tc>
        <w:tc>
          <w:p/>
        </w:tc>
        <w:tc>
          <w:p/>
        </w:tc>
        <w:tc>
          <w:p>
            <w:pPr>
              <w:pStyle w:val="Compact"/>
              <w:jc w:val="left"/>
            </w:pPr>
            <w:r>
              <w:t xml:space="preserve">3</w:t>
            </w:r>
          </w:p>
        </w:tc>
        <w:tc>
          <w:p>
            <w:pPr>
              <w:pStyle w:val="Compact"/>
              <w:jc w:val="left"/>
            </w:pPr>
            <w:r>
              <w:t xml:space="preserve">83,144 – 83,595</w:t>
            </w:r>
          </w:p>
        </w:tc>
        <w:tc>
          <w:p>
            <w:pPr>
              <w:pStyle w:val="Compact"/>
              <w:jc w:val="left"/>
            </w:pPr>
            <w:r>
              <w:t xml:space="preserve">-6.46 – -5.23</w:t>
            </w:r>
          </w:p>
        </w:tc>
      </w:tr>
    </w:tbl>
    <w:p>
      <w:pPr>
        <w:pStyle w:val="Heading3"/>
      </w:pPr>
      <w:bookmarkStart w:id="48" w:name="Xd5937ae391ab1d5bf6d2ad23411577895a82d63"/>
      <w:r>
        <w:t xml:space="preserve">Separate incursions of ASW into New Zealand</w:t>
      </w:r>
      <w:bookmarkEnd w:id="48"/>
    </w:p>
    <w:p>
      <w:pPr>
        <w:pStyle w:val="FirstParagraph"/>
      </w:pPr>
      <w:r>
        <w:t xml:space="preserve">The genetic differentiation between weevils from North and South of the Main Divide suggests the possibility of either multiple routes of entry, or incursion via a single route of entry followed by isolation and diversification.</w:t>
      </w:r>
      <w:r>
        <w:t xml:space="preserve"> </w:t>
      </w:r>
      <w:r>
        <w:t xml:space="preserve">The level of heterozygosity we measured across populations also suggests that incursions were large and/or repeated.</w:t>
      </w:r>
      <w:r>
        <w:t xml:space="preserve"> </w:t>
      </w:r>
      <w:r>
        <w:t xml:space="preserve">To test these different possibilities, we simulated site frequency spectra (SFS) under 10 different models of demographic history and compared them to the observed SFS.</w:t>
      </w:r>
      <w:r>
        <w:t xml:space="preserve"> </w:t>
      </w:r>
      <w:r>
        <w:t xml:space="preserve">Our models covered single and multiple introductions, with either moderate or strong reduction in effective population size during introduction, and multiple introductions from different source populations (Figure 3).</w:t>
      </w:r>
      <w:r>
        <w:t xml:space="preserve"> </w:t>
      </w:r>
      <w:r>
        <w:rPr>
          <w:b/>
        </w:rPr>
        <w:t xml:space="preserve">@all — our interim results suggest model</w:t>
      </w:r>
      <w:r>
        <w:rPr>
          <w:b/>
        </w:rPr>
        <w:t xml:space="preserve"> </w:t>
      </w:r>
      <w:r>
        <w:rPr>
          <w:i/>
          <w:b/>
        </w:rPr>
        <w:t xml:space="preserve">iii</w:t>
      </w:r>
      <w:r>
        <w:rPr>
          <w:b/>
        </w:rPr>
        <w:t xml:space="preserve"> </w:t>
      </w:r>
      <w:r>
        <w:rPr>
          <w:b/>
        </w:rPr>
        <w:t xml:space="preserve">(without migration) is the most likely.</w:t>
      </w:r>
      <w:r>
        <w:rPr>
          <w:b/>
        </w:rPr>
        <w:t xml:space="preserve"> </w:t>
      </w:r>
      <w:r>
        <w:rPr>
          <w:b/>
        </w:rPr>
        <w:t xml:space="preserve">The modelling runs should finish just in time to sneak into the paper.</w:t>
      </w:r>
    </w:p>
    <w:p>
      <w:pPr>
        <w:pStyle w:val="CaptionedFigure"/>
      </w:pPr>
      <w:r>
        <w:drawing>
          <wp:inline>
            <wp:extent cx="5943600" cy="3954162"/>
            <wp:effectExtent b="0" l="0" r="0" t="0"/>
            <wp:docPr descr="Figure 3. Models used to simulate site frequency spectra (SFS) for comparison against the observed SFS. A Models i and ii represent introduction via a single route. In model i the population contracts on introduction and then begins expanding before dispersal. In model ii, dispersal occurs while the effective population size remains small. Models iii and iv represent multiple routes of entry, with or without reduction in population size compared to the current populations in New Zealand. Model v represents introduction to different sites from source populations that were isolated prior to introduction. All models were tested with and without migration between Northern and Southern populations. B Likelihood estimations from ten runs of each model. We used 1 million simulations and 60 optimisation cycles per run [46]. Runs that ended with a non-finite delta likehood after 1M simulations are shown with an asterisk. The models that include a bottleneck after separation of the two populations had the lowest delta likelihoods, and model iii (with migration) had the lowest mean delta likelihood across runs." title="" id="1" name="Picture"/>
            <a:graphic>
              <a:graphicData uri="http://schemas.openxmlformats.org/drawingml/2006/picture">
                <pic:pic>
                  <pic:nvPicPr>
                    <pic:cNvPr descr="fig/figure_3.pdf" id="0" name="Picture"/>
                    <pic:cNvPicPr>
                      <a:picLocks noChangeArrowheads="1" noChangeAspect="1"/>
                    </pic:cNvPicPr>
                  </pic:nvPicPr>
                  <pic:blipFill>
                    <a:blip r:embed="rId49"/>
                    <a:stretch>
                      <a:fillRect/>
                    </a:stretch>
                  </pic:blipFill>
                  <pic:spPr bwMode="auto">
                    <a:xfrm>
                      <a:off x="0" y="0"/>
                      <a:ext cx="5943600" cy="3954162"/>
                    </a:xfrm>
                    <a:prstGeom prst="rect">
                      <a:avLst/>
                    </a:prstGeom>
                    <a:noFill/>
                    <a:ln w="9525">
                      <a:noFill/>
                      <a:headEnd/>
                      <a:tailEnd/>
                    </a:ln>
                  </pic:spPr>
                </pic:pic>
              </a:graphicData>
            </a:graphic>
          </wp:inline>
        </w:drawing>
      </w:r>
    </w:p>
    <w:p>
      <w:pPr>
        <w:pStyle w:val="ImageCaption"/>
      </w:pPr>
      <w:r>
        <w:rPr>
          <w:b/>
        </w:rPr>
        <w:t xml:space="preserve">Figure 3</w:t>
      </w:r>
      <w:r>
        <w:t xml:space="preserve">.</w:t>
      </w:r>
      <w:r>
        <w:t xml:space="preserve"> </w:t>
      </w:r>
      <w:r>
        <w:t xml:space="preserve">Models used to simulate site frequency spectra (SFS) for comparison against the observed SFS.</w:t>
      </w:r>
      <w:r>
        <w:t xml:space="preserve"> </w:t>
      </w:r>
      <w:r>
        <w:rPr>
          <w:b/>
        </w:rPr>
        <w:t xml:space="preserve">A</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w:t>
      </w:r>
      <w:r>
        <w:t xml:space="preserve"> </w:t>
      </w:r>
      <w:r>
        <w:t xml:space="preserve">In model</w:t>
      </w:r>
      <w:r>
        <w:t xml:space="preserve"> </w:t>
      </w:r>
      <w:r>
        <w:rPr>
          <w:i/>
        </w:rPr>
        <w:t xml:space="preserve">i</w:t>
      </w:r>
      <w:r>
        <w:t xml:space="preserve"> </w:t>
      </w:r>
      <w:r>
        <w:t xml:space="preserve">the population contracts on introduction and then begins expanding before dispersal.</w:t>
      </w:r>
      <w:r>
        <w:t xml:space="preserve"> </w:t>
      </w:r>
      <w:r>
        <w:t xml:space="preserve">In model</w:t>
      </w:r>
      <w:r>
        <w:t xml:space="preserve"> </w:t>
      </w:r>
      <w:r>
        <w:rPr>
          <w:i/>
        </w:rPr>
        <w:t xml:space="preserve">ii</w:t>
      </w:r>
      <w:r>
        <w:t xml:space="preserve">, dispersal occurs while the effective population size remains small.</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multiple routes of entry, with or without reduction in population size compared to the current populations in New Zealand.</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r>
        <w:t xml:space="preserve"> </w:t>
      </w:r>
      <w:r>
        <w:rPr>
          <w:b/>
        </w:rPr>
        <w:t xml:space="preserve">B</w:t>
      </w:r>
      <w:r>
        <w:t xml:space="preserve"> </w:t>
      </w:r>
      <w:r>
        <w:t xml:space="preserve">Likelihood estimations from ten runs of each model.</w:t>
      </w:r>
      <w:r>
        <w:t xml:space="preserve"> </w:t>
      </w:r>
      <w:r>
        <w:t xml:space="preserve">We used 1 million simulations and 60 optimisation cycles per run</w:t>
      </w:r>
      <w:r>
        <w:t xml:space="preserve"> </w:t>
      </w:r>
      <w:r>
        <w:t xml:space="preserve">[46]</w:t>
      </w:r>
      <w:r>
        <w:t xml:space="preserve">.</w:t>
      </w:r>
      <w:r>
        <w:t xml:space="preserve"> </w:t>
      </w:r>
      <w:r>
        <w:t xml:space="preserve">Runs that ended with a non-finite delta likehood after 1M simulations are shown with an asterisk.</w:t>
      </w:r>
      <w:r>
        <w:t xml:space="preserve"> </w:t>
      </w:r>
      <w:r>
        <w:t xml:space="preserve">The models that include a bottleneck after separation of the two populations had the lowest delta likelihoods, and model</w:t>
      </w:r>
      <w:r>
        <w:t xml:space="preserve"> </w:t>
      </w:r>
      <w:r>
        <w:rPr>
          <w:i/>
        </w:rPr>
        <w:t xml:space="preserve">iii</w:t>
      </w:r>
      <w:r>
        <w:t xml:space="preserve"> </w:t>
      </w:r>
      <w:r>
        <w:t xml:space="preserve">(with migration) had the lowest mean delta likelihood across runs.</w:t>
      </w:r>
    </w:p>
    <w:p>
      <w:pPr>
        <w:pStyle w:val="Heading2"/>
      </w:pPr>
      <w:bookmarkStart w:id="50" w:name="discussion"/>
      <w:r>
        <w:t xml:space="preserve">Discussion</w:t>
      </w:r>
      <w:bookmarkEnd w:id="50"/>
    </w:p>
    <w:p>
      <w:pPr>
        <w:pStyle w:val="FirstParagraph"/>
      </w:pPr>
      <w:r>
        <w:t xml:space="preserve">The purpose of this work was to investigate genetic variation in New Zealand populations of ASW and its possible relationship to resistance to</w:t>
      </w:r>
      <w:r>
        <w:t xml:space="preserve"> </w:t>
      </w:r>
      <w:r>
        <w:rPr>
          <w:i/>
        </w:rPr>
        <w:t xml:space="preserve">M. hyperodae</w:t>
      </w:r>
      <w:r>
        <w:t xml:space="preserve">.</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[21,22]</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 </w:t>
      </w:r>
      <w:r>
        <w:t xml:space="preserve">(e.g. </w:t>
      </w:r>
      <w:r>
        <w:t xml:space="preserve">[19]</w:t>
      </w:r>
      <w:r>
        <w:t xml:space="preserve">).</w:t>
      </w:r>
      <w:r>
        <w:t xml:space="preserve"> </w:t>
      </w:r>
      <w:r>
        <w:t xml:space="preserve">This indicates that genetic variation in both host and biocontrol agent need to be monitored with high-resolution genotyping to maintain success of biological control.</w:t>
      </w:r>
    </w:p>
    <w:p>
      <w:pPr>
        <w:pStyle w:val="TextBody"/>
      </w:pPr>
      <w:r>
        <w:t xml:space="preserve">ASW was thought to have arrived in New Zealand in the early 20</w:t>
      </w:r>
      <w:r>
        <w:rPr>
          <w:vertAlign w:val="superscript"/>
        </w:rPr>
        <w:t xml:space="preserve">th</w:t>
      </w:r>
      <w:r>
        <w:t xml:space="preserve"> </w:t>
      </w:r>
      <w:r>
        <w:t xml:space="preserve">century, probably via trade in pasture seeds or hay used for feed during stock transit</w:t>
      </w:r>
      <w:r>
        <w:t xml:space="preserve"> </w:t>
      </w:r>
      <w:r>
        <w:t xml:space="preserve">[52]</w:t>
      </w:r>
      <w:r>
        <w:t xml:space="preserve">.</w:t>
      </w:r>
      <w:r>
        <w:t xml:space="preserve"> </w:t>
      </w:r>
      <w:r>
        <w:t xml:space="preserve">The earlier reports of low genetic diversity, based on traditional molecular markers</w:t>
      </w:r>
      <w:r>
        <w:t xml:space="preserve"> </w:t>
      </w:r>
      <w:r>
        <w:t xml:space="preserve">[21,22]</w:t>
      </w:r>
      <w:r>
        <w:t xml:space="preserve">, suggested a limited incursion followed by dispersal and expansion.</w:t>
      </w:r>
      <w:r>
        <w:t xml:space="preserve"> </w:t>
      </w:r>
      <w:r>
        <w:t xml:space="preserve">Our results provide three main pieces of evidence to update the proposed history of ASW incursion in New Zealand.</w:t>
      </w:r>
      <w:r>
        <w:t xml:space="preserve"> </w:t>
      </w:r>
      <w:r>
        <w:t xml:space="preserve">The high heterozygosity across populations could be explained by a large initial incursion, repeated introductions, and/or an unusually high mutation rate.</w:t>
      </w:r>
      <w:r>
        <w:t xml:space="preserve"> </w:t>
      </w:r>
      <w:r>
        <w:t xml:space="preserve">The genetic differentiation between populations from North and South of the Main Divide suggest that migration is low or absent between these regions.</w:t>
      </w:r>
      <w:r>
        <w:t xml:space="preserve"> </w:t>
      </w:r>
      <w:r>
        <w:t xml:space="preserve">Our demographic modelling suggests that the most likely scenario is separate introductions from the same source population to North and South of the Main Divide, accompanied by a moderate reduction in population size and subsequent expansion</w:t>
      </w:r>
      <w:r>
        <w:t xml:space="preserve"> </w:t>
      </w:r>
      <w:r>
        <w:rPr>
          <w:b/>
        </w:rPr>
        <w:t xml:space="preserve">!!! TBC !!!</w:t>
      </w:r>
      <w:r>
        <w:t xml:space="preserve">.</w:t>
      </w:r>
      <w:r>
        <w:t xml:space="preserve"> </w:t>
      </w:r>
      <w:r>
        <w:t xml:space="preserve">The power to resolve the possible evolutionary histories that led to the current population structure of New Zealand weevils was provided by the increased resolution of genome-wide genotyping.</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[53,54]</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[13]</w:t>
      </w:r>
      <w:r>
        <w:t xml:space="preserve">, implying that selection by</w:t>
      </w:r>
      <w:r>
        <w:t xml:space="preserve"> </w:t>
      </w:r>
      <w:r>
        <w:rPr>
          <w:i/>
        </w:rPr>
        <w:t xml:space="preserve">M. hyperodae</w:t>
      </w:r>
      <w:r>
        <w:t xml:space="preserve"> </w:t>
      </w:r>
      <w:r>
        <w:t xml:space="preserve">is within the survivability distribution of ASW populations.</w:t>
      </w:r>
      <w:r>
        <w:t xml:space="preserve"> </w:t>
      </w:r>
      <w:r>
        <w:t xml:space="preserve">We detected a large amount of standing variation in our survey of ASW populations, which may encode phenotypic variation in parasitism survivability.</w:t>
      </w:r>
      <w:r>
        <w:t xml:space="preserve"> </w:t>
      </w:r>
      <w:r>
        <w:t xml:space="preserve">For these reasons,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(family Curculionidae) genomes constructed from short reads have been deposited in the NCBI Genome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[55]</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[56]</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1">
        <w:r>
          <w:rPr>
            <w:rStyle w:val="InternetLink"/>
          </w:rPr>
          <w:t xml:space="preserve">GCA_012979105.1</w:t>
        </w:r>
      </w:hyperlink>
      <w:r>
        <w:t xml:space="preserve">) and the rice weevil (</w:t>
      </w:r>
      <w:r>
        <w:rPr>
          <w:i/>
        </w:rPr>
        <w:t xml:space="preserve">Sitophilus oryzae</w:t>
      </w:r>
      <w:r>
        <w:t xml:space="preserve">;</w:t>
      </w:r>
      <w:r>
        <w:t xml:space="preserve"> </w:t>
      </w:r>
      <w:hyperlink r:id="rId52">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ASW genome of 1.1 GB is larger than other available weevil genomes, and has a high proportion of repetitive sequences.</w:t>
      </w:r>
      <w:r>
        <w:t xml:space="preserve"> </w:t>
      </w:r>
      <w:r>
        <w:t xml:space="preserve">The contiguity statistics and BUSCO scores indicate draft quality, and we expect gaps in the assembly at larger repeat regions that were not sufficiently covered by long reads.</w:t>
      </w:r>
      <w:r>
        <w:t xml:space="preserve"> </w:t>
      </w:r>
      <w:r>
        <w:t xml:space="preserve">Our attempt at short-read assembly of the Argentine stem weevil genome was not effective because of the extreme repeat content.</w:t>
      </w:r>
      <w:r>
        <w:t xml:space="preserve"> </w:t>
      </w:r>
      <w:r>
        <w:t xml:space="preserve">The heterozygosity in weevil populations and lack of an inbred, laboratory strain made pooling individuals for sequencing undesirable.</w:t>
      </w:r>
      <w:r>
        <w:t xml:space="preserve"> </w:t>
      </w:r>
      <w:r>
        <w:t xml:space="preserve">This is highlighed by the number of multiple-copy genes in the combined, long read assembly.</w:t>
      </w:r>
      <w:r>
        <w:t xml:space="preserve"> </w:t>
      </w:r>
      <w:r>
        <w:t xml:space="preserve">Our strategy to assemble the ASW genome included contig construction with the longest reads, followed by assembly polishing with long reads from a single individual, and then redundant contig removal with PCR-free short reads from another single individual.</w:t>
      </w:r>
      <w:r>
        <w:t xml:space="preserve"> </w:t>
      </w:r>
      <w:r>
        <w:t xml:space="preserve">This allowed us to optimise the contiguity and completeness of the genome whilst managing the number of redundant contigs (Table 2 ).</w:t>
      </w:r>
    </w:p>
    <w:p>
      <w:pPr>
        <w:pStyle w:val="Heading3"/>
      </w:pPr>
      <w:bookmarkStart w:id="53" w:name="conclusion"/>
      <w:r>
        <w:t xml:space="preserve">Conclusion</w:t>
      </w:r>
      <w:bookmarkEnd w:id="53"/>
    </w:p>
    <w:p>
      <w:pPr>
        <w:pStyle w:val="FirstParagraph"/>
      </w:pPr>
      <w:r>
        <w:t xml:space="preserve">Our results show that New Zealand populations of ASW have a large amount of heterozygosity, and we suggest that this allowed them to evolve resistance to their biological control agent.</w:t>
      </w:r>
      <w:r>
        <w:t xml:space="preserve"> </w:t>
      </w:r>
      <w:r>
        <w:t xml:space="preserve">This highlights the need for monitoring biological control systems by genome-wide genotyping.</w:t>
      </w:r>
    </w:p>
    <w:p>
      <w:pPr>
        <w:pStyle w:val="Heading2"/>
      </w:pPr>
      <w:bookmarkStart w:id="54" w:name="section"/>
      <w:bookmarkEnd w:id="54"/>
    </w:p>
    <w:p>
      <w:pPr>
        <w:pStyle w:val="Heading3"/>
      </w:pPr>
      <w:bookmarkStart w:id="55" w:name="authors-contributions"/>
      <w:r>
        <w:t xml:space="preserve">Authors’ contributions</w:t>
      </w:r>
      <w:bookmarkEnd w:id="55"/>
    </w:p>
    <w:p>
      <w:pPr>
        <w:pStyle w:val="FirstParagraph"/>
      </w:pPr>
      <w:r>
        <w:t xml:space="preserve">Conceptualization, TWRH, JMEJ, SGo, PKD;</w:t>
      </w:r>
      <w:r>
        <w:t xml:space="preserve"> </w:t>
      </w:r>
      <w:r>
        <w:t xml:space="preserve">data collection, TWRH, ST, SNI, TvS, HH, JS, SGo;</w:t>
      </w:r>
      <w:r>
        <w:t xml:space="preserve"> </w:t>
      </w:r>
      <w:r>
        <w:t xml:space="preserve">analysis, TWRH, MFLL, RJ, SGa, RA;</w:t>
      </w:r>
      <w:r>
        <w:t xml:space="preserve"> </w:t>
      </w:r>
      <w:r>
        <w:t xml:space="preserve">resources, ST, JMEJ, SGo;</w:t>
      </w:r>
      <w:r>
        <w:t xml:space="preserve"> </w:t>
      </w:r>
      <w:r>
        <w:t xml:space="preserve">writing, TWRH, MFLL, PKD, JMEJ, SG;</w:t>
      </w:r>
      <w:r>
        <w:t xml:space="preserve"> </w:t>
      </w:r>
      <w:r>
        <w:t xml:space="preserve">funding acquisition, JMEJ, SG, PKD.</w:t>
      </w:r>
      <w:r>
        <w:t xml:space="preserve"> </w:t>
      </w:r>
      <w:r>
        <w:t xml:space="preserve">All authors have read and agreed to the published version of the manuscript.</w:t>
      </w:r>
    </w:p>
    <w:p>
      <w:pPr>
        <w:pStyle w:val="Heading3"/>
      </w:pPr>
      <w:bookmarkStart w:id="56" w:name="acknowledgements"/>
      <w:r>
        <w:t xml:space="preserve">Acknowledgements</w:t>
      </w:r>
      <w:bookmarkEnd w:id="56"/>
    </w:p>
    <w:p>
      <w:pPr>
        <w:pStyle w:val="FirstParagraph"/>
      </w:pPr>
      <w:r>
        <w:t xml:space="preserve">We thank the AgResearch Animal Genomics team (Invermay), Nathan Brandt (USDA), Shola Olaniyan (NZMPI) and Malvika Bana for their expert dissection of the ASW samples used in this study.</w:t>
      </w:r>
      <w:r>
        <w:t xml:space="preserve"> </w:t>
      </w:r>
      <w:r>
        <w:t xml:space="preserve">We are grateful to Diane Barton and Colin Ferguson (AgResearch, Invermay) for help with weevil retrieval and identification, and Joseph Guhlin (University of Otago &amp; Genomics Aotearoa) for help with annotation of the ASW genome.</w:t>
      </w:r>
      <w:r>
        <w:t xml:space="preserve"> </w:t>
      </w:r>
      <w:r>
        <w:t xml:space="preserve">We also thank the participants, organisers and instructors of the Genomics Aotearoa ONT MinION workshop in Dunedin in April 2018, where we generated the Nanopore reads for the pooled weevil samples.</w:t>
      </w:r>
    </w:p>
    <w:p>
      <w:pPr>
        <w:pStyle w:val="TextBody"/>
      </w:pPr>
      <w:r>
        <w:t xml:space="preserve">This project was supported by the NZ Ministry of Business, Innovation and Employment via its funding of the</w:t>
      </w:r>
      <w:r>
        <w:t xml:space="preserve"> </w:t>
      </w:r>
      <w:r>
        <w:t xml:space="preserve">‘</w:t>
      </w:r>
      <w:r>
        <w:t xml:space="preserve">Genomics for Production &amp; Security in a Biological Economy</w:t>
      </w:r>
      <w:r>
        <w:t xml:space="preserve">’</w:t>
      </w:r>
      <w:r>
        <w:t xml:space="preserve"> </w:t>
      </w:r>
      <w:r>
        <w:t xml:space="preserve">programme (C10X1306) to AgResearch.</w:t>
      </w:r>
    </w:p>
    <w:p>
      <w:pPr>
        <w:pStyle w:val="Heading3"/>
      </w:pPr>
      <w:bookmarkStart w:id="57" w:name="conflicts-of-interest"/>
      <w:r>
        <w:t xml:space="preserve">Conflicts of Interest</w:t>
      </w:r>
      <w:bookmarkEnd w:id="57"/>
    </w:p>
    <w:p>
      <w:pPr>
        <w:pStyle w:val="FirstParagraph"/>
      </w:pPr>
      <w:r>
        <w:t xml:space="preserve">The authors declare no conflict of interest.</w:t>
      </w:r>
    </w:p>
    <w:p>
      <w:pPr>
        <w:pStyle w:val="Heading3"/>
      </w:pPr>
      <w:bookmarkStart w:id="58" w:name="data-availability"/>
      <w:r>
        <w:t xml:space="preserve">Data availability</w:t>
      </w:r>
      <w:bookmarkEnd w:id="58"/>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9" w:name="references"/>
      <w:r>
        <w:t xml:space="preserve">References</w:t>
      </w:r>
      <w:bookmarkEnd w:id="59"/>
    </w:p>
    <w:bookmarkStart w:id="169" w:name="refs"/>
    <w:bookmarkStart w:id="61"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60">
        <w:r>
          <w:rPr>
            <w:rStyle w:val="InternetLink"/>
          </w:rPr>
          <w:t xml:space="preserve">10.1007/978-94-011-4014-0_1</w:t>
        </w:r>
      </w:hyperlink>
      <w:r>
        <w:t xml:space="preserve">.</w:t>
      </w:r>
    </w:p>
    <w:bookmarkEnd w:id="61"/>
    <w:bookmarkStart w:id="63"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62">
        <w:r>
          <w:rPr>
            <w:rStyle w:val="InternetLink"/>
          </w:rPr>
          <w:t xml:space="preserve">10.1890/0012-9658(1997)078[1673:WIBCES]2.0.CO;2</w:t>
        </w:r>
      </w:hyperlink>
      <w:r>
        <w:t xml:space="preserve">.</w:t>
      </w:r>
    </w:p>
    <w:bookmarkEnd w:id="63"/>
    <w:bookmarkStart w:id="65"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4">
        <w:r>
          <w:rPr>
            <w:rStyle w:val="InternetLink"/>
          </w:rPr>
          <w:t xml:space="preserve">10.1053/tvjl.1999.0440</w:t>
        </w:r>
      </w:hyperlink>
      <w:r>
        <w:t xml:space="preserve">.</w:t>
      </w:r>
    </w:p>
    <w:bookmarkEnd w:id="65"/>
    <w:bookmarkStart w:id="67"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6">
        <w:r>
          <w:rPr>
            <w:rStyle w:val="InternetLink"/>
          </w:rPr>
          <w:t xml:space="preserve">10.1038/35015069</w:t>
        </w:r>
      </w:hyperlink>
      <w:r>
        <w:t xml:space="preserve">.</w:t>
      </w:r>
    </w:p>
    <w:bookmarkEnd w:id="67"/>
    <w:bookmarkStart w:id="69" w:name="ref-fergusonQuantifyingEconomicCost2019"/>
    <w:p>
      <w:pPr>
        <w:pStyle w:val="Bibliography"/>
      </w:pPr>
      <w:r>
        <w:t xml:space="preserve">5.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68">
        <w:r>
          <w:rPr>
            <w:rStyle w:val="InternetLink"/>
          </w:rPr>
          <w:t xml:space="preserve">10.1080/00288233.2018.1478860</w:t>
        </w:r>
      </w:hyperlink>
      <w:r>
        <w:t xml:space="preserve">.</w:t>
      </w:r>
    </w:p>
    <w:bookmarkEnd w:id="69"/>
    <w:bookmarkStart w:id="71" w:name="ref-goldsonSevereInsectPest2020a"/>
    <w:p>
      <w:pPr>
        <w:pStyle w:val="Bibliography"/>
      </w:pPr>
      <w:r>
        <w:t xml:space="preserve">6. Goldson, S.L.; Barker, G.M.; Chapman, H.M.; Popay, A.J.; Stewart, A.V.; Caradus, J.R.; Barratt, B.I.P. Severe Insect Pest Impacts on New Zealand Pasture: The Plight of an Ecological Outlier.</w:t>
      </w:r>
      <w:r>
        <w:t xml:space="preserve"> </w:t>
      </w:r>
      <w:r>
        <w:rPr>
          <w:i/>
        </w:rPr>
        <w:t xml:space="preserve">J Insect Sci</w:t>
      </w:r>
      <w:r>
        <w:t xml:space="preserve"> </w:t>
      </w:r>
      <w:r>
        <w:rPr>
          <w:b/>
        </w:rPr>
        <w:t xml:space="preserve">2020</w:t>
      </w:r>
      <w:r>
        <w:t xml:space="preserve">,</w:t>
      </w:r>
      <w:r>
        <w:t xml:space="preserve"> </w:t>
      </w:r>
      <w:r>
        <w:rPr>
          <w:i/>
        </w:rPr>
        <w:t xml:space="preserve">20</w:t>
      </w:r>
      <w:r>
        <w:t xml:space="preserve">. doi:</w:t>
      </w:r>
      <w:r>
        <w:t xml:space="preserve"> </w:t>
      </w:r>
      <w:hyperlink r:id="rId70">
        <w:r>
          <w:rPr>
            <w:rStyle w:val="InternetLink"/>
          </w:rPr>
          <w:t xml:space="preserve">10.1093/jisesa/ieaa018</w:t>
        </w:r>
      </w:hyperlink>
      <w:r>
        <w:t xml:space="preserve">.</w:t>
      </w:r>
    </w:p>
    <w:bookmarkEnd w:id="71"/>
    <w:bookmarkStart w:id="72" w:name="ref-barkerArgentineStemWeevil1993"/>
    <w:p>
      <w:pPr>
        <w:pStyle w:val="Bibliography"/>
      </w:pPr>
      <w:r>
        <w:t xml:space="preserve">7. Barker, G.; Addison, P.J. Argentine stem weevil populations and damage in ryegrass swards of contrasting Acremonium infection.; 1993.</w:t>
      </w:r>
    </w:p>
    <w:bookmarkEnd w:id="72"/>
    <w:bookmarkStart w:id="73" w:name="ref-prestidgeEconomicCostArgentine1991"/>
    <w:p>
      <w:pPr>
        <w:pStyle w:val="Bibliography"/>
      </w:pPr>
      <w:r>
        <w:t xml:space="preserve">8. Prestidge, R.; Barker, G.; Pottinger, R. The economic cost of Argentine stem weevil in pastures in New Zealand.; 1991; Vol. 44, pp. 165–170.</w:t>
      </w:r>
    </w:p>
    <w:bookmarkEnd w:id="73"/>
    <w:bookmarkStart w:id="75" w:name="X3e07c6cc1b756f7ab734731d3ccff55eae31bab"/>
    <w:p>
      <w:pPr>
        <w:pStyle w:val="Bibliography"/>
      </w:pPr>
      <w:r>
        <w:t xml:space="preserve">9.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pnzwpcc</w:t>
      </w:r>
      <w:r>
        <w:t xml:space="preserve"> </w:t>
      </w:r>
      <w:r>
        <w:rPr>
          <w:b/>
        </w:rPr>
        <w:t xml:space="preserve">1990</w:t>
      </w:r>
      <w:r>
        <w:t xml:space="preserve">,</w:t>
      </w:r>
      <w:r>
        <w:t xml:space="preserve"> </w:t>
      </w:r>
      <w:r>
        <w:rPr>
          <w:i/>
        </w:rPr>
        <w:t xml:space="preserve">43</w:t>
      </w:r>
      <w:r>
        <w:t xml:space="preserve">, 334–338. doi:</w:t>
      </w:r>
      <w:r>
        <w:t xml:space="preserve"> </w:t>
      </w:r>
      <w:hyperlink r:id="rId74">
        <w:r>
          <w:rPr>
            <w:rStyle w:val="InternetLink"/>
          </w:rPr>
          <w:t xml:space="preserve">10.30843/nzpp.1990.43.10904</w:t>
        </w:r>
      </w:hyperlink>
      <w:r>
        <w:t xml:space="preserve">.</w:t>
      </w:r>
    </w:p>
    <w:bookmarkEnd w:id="75"/>
    <w:bookmarkStart w:id="77" w:name="ref-barlowAlienInvertebratesNew2002a"/>
    <w:p>
      <w:pPr>
        <w:pStyle w:val="Bibliography"/>
      </w:pPr>
      <w:r>
        <w:t xml:space="preserve">10. Barlow, N.; Goldson, S. Alien invertebrates in New Zealand. In</w:t>
      </w:r>
      <w:r>
        <w:t xml:space="preserve"> </w:t>
      </w:r>
      <w:r>
        <w:rPr>
          <w:i/>
        </w:rPr>
        <w:t xml:space="preserve">Biological Invasions : Economic and Environmental Costs of Alien Plant, Animal, and Microbe Species</w:t>
      </w:r>
      <w:r>
        <w:t xml:space="preserve">; Pimentel, D., Ed.; CRC Press, 2002; pp. 195–216. doi:</w:t>
      </w:r>
      <w:r>
        <w:t xml:space="preserve"> </w:t>
      </w:r>
      <w:hyperlink r:id="rId76">
        <w:r>
          <w:rPr>
            <w:rStyle w:val="InternetLink"/>
          </w:rPr>
          <w:t xml:space="preserve">10.1201/9781420041668.ch12</w:t>
        </w:r>
      </w:hyperlink>
      <w:r>
        <w:t xml:space="preserve">.</w:t>
      </w:r>
    </w:p>
    <w:bookmarkEnd w:id="77"/>
    <w:bookmarkStart w:id="79" w:name="X6d342bbb4f266bbfe45fa3f99ad7b5e362ba507"/>
    <w:p>
      <w:pPr>
        <w:pStyle w:val="Bibliography"/>
      </w:pPr>
      <w:r>
        <w:t xml:space="preserve">11.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8">
        <w:r>
          <w:rPr>
            <w:rStyle w:val="InternetLink"/>
          </w:rPr>
          <w:t xml:space="preserve">10.1007/s13225-013-0239-4</w:t>
        </w:r>
      </w:hyperlink>
      <w:r>
        <w:t xml:space="preserve">.</w:t>
      </w:r>
    </w:p>
    <w:bookmarkEnd w:id="79"/>
    <w:bookmarkStart w:id="81" w:name="ref-kauppinenEpichloeGrassEndophytes2016"/>
    <w:p>
      <w:pPr>
        <w:pStyle w:val="Bibliography"/>
      </w:pPr>
      <w:r>
        <w:t xml:space="preserve">12.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80">
        <w:r>
          <w:rPr>
            <w:rStyle w:val="InternetLink"/>
          </w:rPr>
          <w:t xml:space="preserve">10.1038/nplants.2015.224</w:t>
        </w:r>
      </w:hyperlink>
      <w:r>
        <w:t xml:space="preserve">.</w:t>
      </w:r>
    </w:p>
    <w:bookmarkEnd w:id="81"/>
    <w:bookmarkStart w:id="83" w:name="ref-barkerEarlyImpactEndoparasitoid2006"/>
    <w:p>
      <w:pPr>
        <w:pStyle w:val="Bibliography"/>
      </w:pPr>
      <w:r>
        <w:t xml:space="preserve">13. Barker, G.M.; Addison, P.J. Early Impact of Endoparasitoid</w:t>
      </w:r>
      <w:r>
        <w:t xml:space="preserve"> </w:t>
      </w:r>
      <w:r>
        <w:rPr>
          <w:i/>
        </w:rPr>
        <w:t xml:space="preserve">Microctonus hyperodae</w:t>
      </w:r>
      <w:r>
        <w:t xml:space="preserve"> </w:t>
      </w:r>
      <w:r>
        <w:t xml:space="preserve">(Hymenoptera: Braconidae) After Its Establishment in</w:t>
      </w:r>
      <w:r>
        <w:t xml:space="preserve"> </w:t>
      </w:r>
      <w:r>
        <w:rPr>
          <w:i/>
        </w:rPr>
        <w:t xml:space="preserve">Listronotus bonariensis</w:t>
      </w:r>
      <w:r>
        <w:t xml:space="preserve"> </w:t>
      </w:r>
      <w:r>
        <w:t xml:space="preserve">(Coleoptera: Curculionidae) Populations of Northern New Zealand Pastures.</w:t>
      </w:r>
      <w:r>
        <w:t xml:space="preserve"> </w:t>
      </w:r>
      <w:r>
        <w:rPr>
          <w:i/>
        </w:rPr>
        <w:t xml:space="preserve">J Econ Entomol</w:t>
      </w:r>
      <w:r>
        <w:t xml:space="preserve"> </w:t>
      </w:r>
      <w:r>
        <w:rPr>
          <w:b/>
        </w:rPr>
        <w:t xml:space="preserve">2006</w:t>
      </w:r>
      <w:r>
        <w:t xml:space="preserve">,</w:t>
      </w:r>
      <w:r>
        <w:t xml:space="preserve"> </w:t>
      </w:r>
      <w:r>
        <w:rPr>
          <w:i/>
        </w:rPr>
        <w:t xml:space="preserve">99</w:t>
      </w:r>
      <w:r>
        <w:t xml:space="preserve">, 273–287. doi:</w:t>
      </w:r>
      <w:r>
        <w:t xml:space="preserve"> </w:t>
      </w:r>
      <w:hyperlink r:id="rId82">
        <w:r>
          <w:rPr>
            <w:rStyle w:val="InternetLink"/>
          </w:rPr>
          <w:t xml:space="preserve">10.1093/jee/99.2.273</w:t>
        </w:r>
      </w:hyperlink>
      <w:r>
        <w:t xml:space="preserve">.</w:t>
      </w:r>
    </w:p>
    <w:bookmarkEnd w:id="83"/>
    <w:bookmarkStart w:id="85" w:name="ref-goldsonArgentineStemWeevil2011"/>
    <w:p>
      <w:pPr>
        <w:pStyle w:val="Bibliography"/>
      </w:pPr>
      <w:r>
        <w:t xml:space="preserve">14. Goldson, S.L.; Barron, M.C.; Kean, J.M.; van Koten, C. Argentine stem weevil (</w:t>
      </w:r>
      <w:r>
        <w:rPr>
          <w:i/>
        </w:rPr>
        <w:t xml:space="preserve">Listronotus 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84">
        <w:r>
          <w:rPr>
            <w:rStyle w:val="InternetLink"/>
          </w:rPr>
          <w:t xml:space="preserve">10.1017/S0007485310000507</w:t>
        </w:r>
      </w:hyperlink>
      <w:r>
        <w:t xml:space="preserve">.</w:t>
      </w:r>
    </w:p>
    <w:bookmarkEnd w:id="85"/>
    <w:bookmarkStart w:id="87" w:name="X427b9eb8babf0f6b4017f445287e497782beccb"/>
    <w:p>
      <w:pPr>
        <w:pStyle w:val="Bibliography"/>
      </w:pPr>
      <w:r>
        <w:t xml:space="preserve">15. Barker, G.M. Biology of the Introduced Biocontrol Agent</w:t>
      </w:r>
      <w:r>
        <w:t xml:space="preserve"> </w:t>
      </w:r>
      <w:r>
        <w:rPr>
          <w:i/>
        </w:rPr>
        <w:t xml:space="preserve">Microctonus hyperodae</w:t>
      </w:r>
      <w:r>
        <w:t xml:space="preserve"> </w:t>
      </w:r>
      <w:r>
        <w:t xml:space="preserve">(Hymenoptera: Braconidae) and Its Host</w:t>
      </w:r>
      <w:r>
        <w:t xml:space="preserve"> </w:t>
      </w:r>
      <w:r>
        <w:rPr>
          <w:i/>
        </w:rPr>
        <w:t xml:space="preserve">Listronotus bonariensis</w:t>
      </w:r>
      <w:r>
        <w:t xml:space="preserve"> </w:t>
      </w:r>
      <w:r>
        <w:t xml:space="preserve">(Coleoptera: Curculionidae) in Northern New Zealand.</w:t>
      </w:r>
      <w:r>
        <w:t xml:space="preserve"> </w:t>
      </w:r>
      <w:r>
        <w:rPr>
          <w:i/>
        </w:rPr>
        <w:t xml:space="preserve">Environ Entomol</w:t>
      </w:r>
      <w:r>
        <w:t xml:space="preserve"> </w:t>
      </w:r>
      <w:r>
        <w:rPr>
          <w:b/>
        </w:rPr>
        <w:t xml:space="preserve">2013</w:t>
      </w:r>
      <w:r>
        <w:t xml:space="preserve">,</w:t>
      </w:r>
      <w:r>
        <w:t xml:space="preserve"> </w:t>
      </w:r>
      <w:r>
        <w:rPr>
          <w:i/>
        </w:rPr>
        <w:t xml:space="preserve">42</w:t>
      </w:r>
      <w:r>
        <w:t xml:space="preserve">, 902–914. doi:</w:t>
      </w:r>
      <w:r>
        <w:t xml:space="preserve"> </w:t>
      </w:r>
      <w:hyperlink r:id="rId86">
        <w:r>
          <w:rPr>
            <w:rStyle w:val="InternetLink"/>
          </w:rPr>
          <w:t xml:space="preserve">10.1603/EN11248</w:t>
        </w:r>
      </w:hyperlink>
      <w:r>
        <w:t xml:space="preserve">.</w:t>
      </w:r>
    </w:p>
    <w:bookmarkEnd w:id="87"/>
    <w:bookmarkStart w:id="89" w:name="ref-popayCurrentStatusArgentine2011"/>
    <w:p>
      <w:pPr>
        <w:pStyle w:val="Bibliography"/>
      </w:pPr>
      <w:r>
        <w:t xml:space="preserve">16. Popay, A.J.; McNeill, M.R.; Goldson, S.L.; Ferguson, C.M. The current status of Argentine stem weevil (</w:t>
      </w:r>
      <w:r>
        <w:rPr>
          <w:i/>
        </w:rPr>
        <w:t xml:space="preserve">Listronotus 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8">
        <w:r>
          <w:rPr>
            <w:rStyle w:val="InternetLink"/>
          </w:rPr>
          <w:t xml:space="preserve">10.30843/nzpp.2011.64.5962</w:t>
        </w:r>
      </w:hyperlink>
      <w:r>
        <w:t xml:space="preserve">.</w:t>
      </w:r>
    </w:p>
    <w:bookmarkEnd w:id="89"/>
    <w:bookmarkStart w:id="91" w:name="X1d12032c0e7e08b32ad1590492d4f5475384120"/>
    <w:p>
      <w:pPr>
        <w:pStyle w:val="Bibliography"/>
      </w:pPr>
      <w:r>
        <w:t xml:space="preserve">17. Goldson, S.L.; Tomasetto, F. Apparent Acquired Resistance by a Weevil to Its Parasitoid Is Influenced by Host Plant.</w:t>
      </w:r>
      <w:r>
        <w:t xml:space="preserve"> </w:t>
      </w:r>
      <w:r>
        <w:rPr>
          <w:i/>
        </w:rPr>
        <w:t xml:space="preserve">Front. Plant Sci.</w:t>
      </w:r>
      <w:r>
        <w:t xml:space="preserve"> </w:t>
      </w:r>
      <w:r>
        <w:rPr>
          <w:b/>
        </w:rPr>
        <w:t xml:space="preserve">2016</w:t>
      </w:r>
      <w:r>
        <w:t xml:space="preserve">,</w:t>
      </w:r>
      <w:r>
        <w:t xml:space="preserve"> </w:t>
      </w:r>
      <w:r>
        <w:rPr>
          <w:i/>
        </w:rPr>
        <w:t xml:space="preserve">7</w:t>
      </w:r>
      <w:r>
        <w:t xml:space="preserve">. doi:</w:t>
      </w:r>
      <w:r>
        <w:t xml:space="preserve"> </w:t>
      </w:r>
      <w:hyperlink r:id="rId90">
        <w:r>
          <w:rPr>
            <w:rStyle w:val="InternetLink"/>
          </w:rPr>
          <w:t xml:space="preserve">10.3389/fpls.2016.01259</w:t>
        </w:r>
      </w:hyperlink>
      <w:r>
        <w:t xml:space="preserve">.</w:t>
      </w:r>
    </w:p>
    <w:bookmarkEnd w:id="91"/>
    <w:bookmarkStart w:id="93" w:name="X5016a75cf5f6463caf59e425c690635b16be238"/>
    <w:p>
      <w:pPr>
        <w:pStyle w:val="Bibliography"/>
      </w:pPr>
      <w:r>
        <w:t xml:space="preserve">18. Tomasetto, F.; Tylianakis, J.M.; Reale, M.; Wratten, S.; Goldson, S.L. Intensified agriculture favors evolved resistance to biological control.</w:t>
      </w:r>
      <w:r>
        <w:t xml:space="preserve"> </w:t>
      </w:r>
      <w:r>
        <w:rPr>
          <w:i/>
        </w:rPr>
        <w:t xml:space="preserve">PNAS</w:t>
      </w:r>
      <w:r>
        <w:t xml:space="preserve"> </w:t>
      </w:r>
      <w:r>
        <w:rPr>
          <w:b/>
        </w:rPr>
        <w:t xml:space="preserve">2017</w:t>
      </w:r>
      <w:r>
        <w:t xml:space="preserve">, 201618416. doi:</w:t>
      </w:r>
      <w:r>
        <w:t xml:space="preserve"> </w:t>
      </w:r>
      <w:hyperlink r:id="rId92">
        <w:r>
          <w:rPr>
            <w:rStyle w:val="InternetLink"/>
          </w:rPr>
          <w:t xml:space="preserve">10.1073/pnas.1618416114</w:t>
        </w:r>
      </w:hyperlink>
      <w:r>
        <w:t xml:space="preserve">.</w:t>
      </w:r>
    </w:p>
    <w:bookmarkEnd w:id="93"/>
    <w:bookmarkStart w:id="95" w:name="Xd26afd1c70899bd79ca9bd30e116404ccb4928a"/>
    <w:p>
      <w:pPr>
        <w:pStyle w:val="Bibliography"/>
      </w:pPr>
      <w:r>
        <w:t xml:space="preserve">19.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94">
        <w:r>
          <w:rPr>
            <w:rStyle w:val="InternetLink"/>
          </w:rPr>
          <w:t xml:space="preserve">10.1371/journal.pone.0207610</w:t>
        </w:r>
      </w:hyperlink>
      <w:r>
        <w:t xml:space="preserve">.</w:t>
      </w:r>
    </w:p>
    <w:bookmarkEnd w:id="95"/>
    <w:bookmarkStart w:id="97" w:name="ref-pennisiFirstNaturalSelection2017"/>
    <w:p>
      <w:pPr>
        <w:pStyle w:val="Bibliography"/>
      </w:pPr>
      <w:r>
        <w:t xml:space="preserve">20.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6">
        <w:r>
          <w:rPr>
            <w:rStyle w:val="InternetLink"/>
          </w:rPr>
          <w:t xml:space="preserve">10.1126/science.356.6338.570</w:t>
        </w:r>
      </w:hyperlink>
      <w:r>
        <w:t xml:space="preserve">.</w:t>
      </w:r>
    </w:p>
    <w:bookmarkEnd w:id="97"/>
    <w:bookmarkStart w:id="99" w:name="Xef54f6598ba1294f7acf9b63017e70ed7a9ae95"/>
    <w:p>
      <w:pPr>
        <w:pStyle w:val="Bibliography"/>
      </w:pPr>
      <w:r>
        <w:t xml:space="preserve">21. Williams, C.L.; Goldson, S.L.; Baird, D.B.; Bullock, D.W. Geographical origin of an introduced insect pest,</w:t>
      </w:r>
      <w:r>
        <w:t xml:space="preserve"> </w:t>
      </w:r>
      <w:r>
        <w:rPr>
          <w:i/>
        </w:rPr>
        <w:t xml:space="preserve">Listronotus 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8">
        <w:r>
          <w:rPr>
            <w:rStyle w:val="InternetLink"/>
          </w:rPr>
          <w:t xml:space="preserve">10.1038/hdy.1994.57</w:t>
        </w:r>
      </w:hyperlink>
      <w:r>
        <w:t xml:space="preserve">.</w:t>
      </w:r>
    </w:p>
    <w:bookmarkEnd w:id="99"/>
    <w:bookmarkStart w:id="101" w:name="ref-vinkPCRGutAnalysis2013"/>
    <w:p>
      <w:pPr>
        <w:pStyle w:val="Bibliography"/>
      </w:pPr>
      <w:r>
        <w:t xml:space="preserve">22. Vink, C.J.; Kean, J.M. PCR gut analysis reveals that</w:t>
      </w:r>
      <w:r>
        <w:t xml:space="preserve"> </w:t>
      </w:r>
      <w:r>
        <w:rPr>
          <w:i/>
        </w:rPr>
        <w:t xml:space="preserve">Tenuiphantes tenuis</w:t>
      </w:r>
      <w:r>
        <w:t xml:space="preserve"> </w:t>
      </w:r>
      <w:r>
        <w:t xml:space="preserve">(Araneae: Linyphiidae) is a potentially significant predator of Argentine stem weevil,</w:t>
      </w:r>
      <w:r>
        <w:t xml:space="preserve"> </w:t>
      </w:r>
      <w:r>
        <w:rPr>
          <w:i/>
        </w:rPr>
        <w:t xml:space="preserve">Listronotus 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 Retrieved from</w:t>
      </w:r>
      <w:r>
        <w:t xml:space="preserve"> </w:t>
      </w:r>
      <w:hyperlink r:id="rId100">
        <w:r>
          <w:rPr>
            <w:rStyle w:val="InternetLink"/>
          </w:rPr>
          <w:t xml:space="preserve">https://www.tandfonline.com/doi/abs/10.1080/03014223.2013.794847</w:t>
        </w:r>
      </w:hyperlink>
      <w:r>
        <w:t xml:space="preserve">.</w:t>
      </w:r>
    </w:p>
    <w:bookmarkEnd w:id="101"/>
    <w:bookmarkStart w:id="103" w:name="ref-kahleGgmapSpatialVisualization2013"/>
    <w:p>
      <w:pPr>
        <w:pStyle w:val="Bibliography"/>
      </w:pPr>
      <w:r>
        <w:t xml:space="preserve">23.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102">
        <w:r>
          <w:rPr>
            <w:rStyle w:val="InternetLink"/>
          </w:rPr>
          <w:t xml:space="preserve">10.32614/RJ-2013-014</w:t>
        </w:r>
      </w:hyperlink>
      <w:r>
        <w:t xml:space="preserve">.</w:t>
      </w:r>
    </w:p>
    <w:bookmarkEnd w:id="103"/>
    <w:bookmarkStart w:id="105" w:name="X2e38d12a8f7821f44af6e96d6fadc0444c0e855"/>
    <w:p>
      <w:pPr>
        <w:pStyle w:val="Bibliography"/>
      </w:pPr>
      <w:r>
        <w:t xml:space="preserve">24. Goldson, S.L.; Emberson, R.M. Reproductive morphology of the Argentine stem weevil,</w:t>
      </w:r>
      <w:r>
        <w:t xml:space="preserve"> </w:t>
      </w:r>
      <w:r>
        <w:rPr>
          <w:i/>
        </w:rPr>
        <w:t xml:space="preserve">Hyperodes 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104">
        <w:r>
          <w:rPr>
            <w:rStyle w:val="InternetLink"/>
          </w:rPr>
          <w:t xml:space="preserve">10.1080/03014223.1981.10427942</w:t>
        </w:r>
      </w:hyperlink>
      <w:r>
        <w:t xml:space="preserve">.</w:t>
      </w:r>
    </w:p>
    <w:bookmarkEnd w:id="105"/>
    <w:bookmarkStart w:id="107" w:name="ref-bushnellBBMapFastAccurate2014"/>
    <w:p>
      <w:pPr>
        <w:pStyle w:val="Bibliography"/>
      </w:pPr>
      <w:r>
        <w:t xml:space="preserve">25. Bushnell, B.</w:t>
      </w:r>
      <w:r>
        <w:t xml:space="preserve"> </w:t>
      </w:r>
      <w:r>
        <w:rPr>
          <w:i/>
        </w:rPr>
        <w:t xml:space="preserve">BBMap: A Fast, Accurate, Splice-Aware Aligner</w:t>
      </w:r>
      <w:r>
        <w:t xml:space="preserve">; Lawrence Berkeley National Lab. (LBNL), Berkeley, CA (United States), 2014; Retrieved from Lawrence Berkeley National Lab. (LBNL), Berkeley, CA (United States) website:</w:t>
      </w:r>
      <w:r>
        <w:t xml:space="preserve"> </w:t>
      </w:r>
      <w:hyperlink r:id="rId106">
        <w:r>
          <w:rPr>
            <w:rStyle w:val="InternetLink"/>
          </w:rPr>
          <w:t xml:space="preserve">https://www.osti.gov/biblio/1241166-bbmap-fast-accurate-splice-aware-aligner</w:t>
        </w:r>
      </w:hyperlink>
      <w:r>
        <w:t xml:space="preserve">.</w:t>
      </w:r>
    </w:p>
    <w:bookmarkEnd w:id="107"/>
    <w:bookmarkStart w:id="109" w:name="ref-chapmanMeraculousNovoGenome2011"/>
    <w:p>
      <w:pPr>
        <w:pStyle w:val="Bibliography"/>
      </w:pPr>
      <w:r>
        <w:t xml:space="preserve">26.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8">
        <w:r>
          <w:rPr>
            <w:rStyle w:val="InternetLink"/>
          </w:rPr>
          <w:t xml:space="preserve">10.1371/journal.pone.0023501</w:t>
        </w:r>
      </w:hyperlink>
      <w:r>
        <w:t xml:space="preserve">.</w:t>
      </w:r>
    </w:p>
    <w:bookmarkEnd w:id="109"/>
    <w:bookmarkStart w:id="111" w:name="ref-chapmanMeraculous2FastAccurate2016"/>
    <w:p>
      <w:pPr>
        <w:pStyle w:val="Bibliography"/>
      </w:pPr>
      <w:r>
        <w:t xml:space="preserve">27.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10">
        <w:r>
          <w:rPr>
            <w:rStyle w:val="InternetLink"/>
          </w:rPr>
          <w:t xml:space="preserve">http://arxiv.org/abs/1608.01031</w:t>
        </w:r>
      </w:hyperlink>
      <w:r>
        <w:t xml:space="preserve">.</w:t>
      </w:r>
    </w:p>
    <w:bookmarkEnd w:id="111"/>
    <w:bookmarkStart w:id="113" w:name="X94f9d95eb9b9f1c78d2e3faaf609513e07e0bde"/>
    <w:p>
      <w:pPr>
        <w:pStyle w:val="Bibliography"/>
      </w:pPr>
      <w:r>
        <w:t xml:space="preserve">28.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12">
        <w:r>
          <w:rPr>
            <w:rStyle w:val="InternetLink"/>
          </w:rPr>
          <w:t xml:space="preserve">http://arxiv.org/abs/1703.09852</w:t>
        </w:r>
      </w:hyperlink>
      <w:r>
        <w:t xml:space="preserve">.</w:t>
      </w:r>
    </w:p>
    <w:bookmarkEnd w:id="113"/>
    <w:bookmarkStart w:id="115" w:name="ref-harropHMWDNAExtraction2018"/>
    <w:p>
      <w:pPr>
        <w:pStyle w:val="Bibliography"/>
      </w:pPr>
      <w:r>
        <w:t xml:space="preserve">29. Harrop, T. HMW DNA extraction for insects.</w:t>
      </w:r>
      <w:r>
        <w:t xml:space="preserve"> </w:t>
      </w:r>
      <w:r>
        <w:rPr>
          <w:b/>
        </w:rPr>
        <w:t xml:space="preserve">2018</w:t>
      </w:r>
      <w:r>
        <w:t xml:space="preserve">. doi:</w:t>
      </w:r>
      <w:r>
        <w:t xml:space="preserve"> </w:t>
      </w:r>
      <w:hyperlink r:id="rId114">
        <w:r>
          <w:rPr>
            <w:rStyle w:val="InternetLink"/>
          </w:rPr>
          <w:t xml:space="preserve">10.17504/protocols.io.pnwdmfe</w:t>
        </w:r>
      </w:hyperlink>
      <w:r>
        <w:t xml:space="preserve">.</w:t>
      </w:r>
    </w:p>
    <w:bookmarkEnd w:id="115"/>
    <w:bookmarkStart w:id="117" w:name="ref-kolmogorovAssemblyLongErrorprone2019"/>
    <w:p>
      <w:pPr>
        <w:pStyle w:val="Bibliography"/>
      </w:pPr>
      <w:r>
        <w:t xml:space="preserve">30.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6">
        <w:r>
          <w:rPr>
            <w:rStyle w:val="InternetLink"/>
          </w:rPr>
          <w:t xml:space="preserve">10.1038/s41587-019-0072-8</w:t>
        </w:r>
      </w:hyperlink>
      <w:r>
        <w:t xml:space="preserve">.</w:t>
      </w:r>
    </w:p>
    <w:bookmarkEnd w:id="117"/>
    <w:bookmarkStart w:id="119" w:name="ref-simaoBUSCOAssessingGenome2015"/>
    <w:p>
      <w:pPr>
        <w:pStyle w:val="Bibliography"/>
      </w:pPr>
      <w:r>
        <w:t xml:space="preserve">31.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8">
        <w:r>
          <w:rPr>
            <w:rStyle w:val="InternetLink"/>
          </w:rPr>
          <w:t xml:space="preserve">10.1093/bioinformatics/btv351</w:t>
        </w:r>
      </w:hyperlink>
      <w:r>
        <w:t xml:space="preserve">.</w:t>
      </w:r>
    </w:p>
    <w:bookmarkEnd w:id="119"/>
    <w:bookmarkStart w:id="121" w:name="ref-roachPurgeHaplotigsAllelic2018"/>
    <w:p>
      <w:pPr>
        <w:pStyle w:val="Bibliography"/>
      </w:pPr>
      <w:r>
        <w:t xml:space="preserve">32.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20">
        <w:r>
          <w:rPr>
            <w:rStyle w:val="InternetLink"/>
          </w:rPr>
          <w:t xml:space="preserve">10.1186/s12859-018-2485-7</w:t>
        </w:r>
      </w:hyperlink>
      <w:r>
        <w:t xml:space="preserve">.</w:t>
      </w:r>
    </w:p>
    <w:bookmarkEnd w:id="121"/>
    <w:bookmarkStart w:id="123" w:name="ref-smitRepeatModelerOpen12015"/>
    <w:p>
      <w:pPr>
        <w:pStyle w:val="Bibliography"/>
      </w:pPr>
      <w:r>
        <w:t xml:space="preserve">33. Smit, A.F.A.; Hubley, R.</w:t>
      </w:r>
      <w:r>
        <w:t xml:space="preserve"> </w:t>
      </w:r>
      <w:r>
        <w:rPr>
          <w:i/>
        </w:rPr>
        <w:t xml:space="preserve">RepeatModeler Open-1.0</w:t>
      </w:r>
      <w:r>
        <w:t xml:space="preserve">; 2015; Retrieved from</w:t>
      </w:r>
      <w:r>
        <w:t xml:space="preserve"> </w:t>
      </w:r>
      <w:hyperlink r:id="rId122">
        <w:r>
          <w:rPr>
            <w:rStyle w:val="InternetLink"/>
          </w:rPr>
          <w:t xml:space="preserve">http://www.repeatmasker.org</w:t>
        </w:r>
      </w:hyperlink>
      <w:r>
        <w:t xml:space="preserve">.</w:t>
      </w:r>
    </w:p>
    <w:bookmarkEnd w:id="123"/>
    <w:bookmarkStart w:id="125" w:name="X73dc34f083a19d3b348e971048f341b1bdb786e"/>
    <w:p>
      <w:pPr>
        <w:pStyle w:val="Bibliography"/>
      </w:pPr>
      <w:r>
        <w:t xml:space="preserve">34. Jon Love; Jon Palmer; Jason Stajich; Tyler Esser; Erik Kastman; Daniel Bogema; David Winter</w:t>
      </w:r>
      <w:r>
        <w:t xml:space="preserve"> </w:t>
      </w:r>
      <w:r>
        <w:rPr>
          <w:i/>
        </w:rPr>
        <w:t xml:space="preserve">nextgenusfs/funannotate: funannotate v1.7.4</w:t>
      </w:r>
      <w:r>
        <w:t xml:space="preserve">; Zenodo, 2020; doi:</w:t>
      </w:r>
      <w:r>
        <w:t xml:space="preserve"> </w:t>
      </w:r>
      <w:hyperlink r:id="rId124">
        <w:r>
          <w:rPr>
            <w:rStyle w:val="InternetLink"/>
          </w:rPr>
          <w:t xml:space="preserve">10.5281/zenodo.3679386</w:t>
        </w:r>
      </w:hyperlink>
      <w:r>
        <w:t xml:space="preserve">.</w:t>
      </w:r>
    </w:p>
    <w:bookmarkEnd w:id="125"/>
    <w:bookmarkStart w:id="126" w:name="ref-smitRepeatMaskerOpen42015"/>
    <w:p>
      <w:pPr>
        <w:pStyle w:val="Bibliography"/>
      </w:pPr>
      <w:r>
        <w:t xml:space="preserve">35. Smit, A.F.A.; Hubley, R.; Green, P.</w:t>
      </w:r>
      <w:r>
        <w:t xml:space="preserve"> </w:t>
      </w:r>
      <w:r>
        <w:rPr>
          <w:i/>
        </w:rPr>
        <w:t xml:space="preserve">RepeatMasker Open-4.0.</w:t>
      </w:r>
      <w:r>
        <w:t xml:space="preserve">; 2015; Retrieved from</w:t>
      </w:r>
      <w:r>
        <w:t xml:space="preserve"> </w:t>
      </w:r>
      <w:hyperlink r:id="rId122">
        <w:r>
          <w:rPr>
            <w:rStyle w:val="InternetLink"/>
          </w:rPr>
          <w:t xml:space="preserve">http://www.repeatmasker.org</w:t>
        </w:r>
      </w:hyperlink>
      <w:r>
        <w:t xml:space="preserve">.</w:t>
      </w:r>
    </w:p>
    <w:bookmarkEnd w:id="126"/>
    <w:bookmarkStart w:id="128" w:name="ref-petersonDoubleDigestRADseq2012"/>
    <w:p>
      <w:pPr>
        <w:pStyle w:val="Bibliography"/>
      </w:pPr>
      <w:r>
        <w:t xml:space="preserve">36. Peterson, B.K.; Weber, J.N.; Kay, E.H.; Fisher, H.S.; Hoekstra, H.E. Double Digest RADseq: An Inexpensive Method for De Novo SNP Discovery and Genotyping in Model and Non-Model Species.</w:t>
      </w:r>
      <w:r>
        <w:t xml:space="preserve"> </w:t>
      </w:r>
      <w:r>
        <w:rPr>
          <w:i/>
        </w:rPr>
        <w:t xml:space="preserve">PLoS One</w:t>
      </w:r>
      <w:r>
        <w:t xml:space="preserve"> </w:t>
      </w:r>
      <w:r>
        <w:rPr>
          <w:b/>
        </w:rPr>
        <w:t xml:space="preserve">2012</w:t>
      </w:r>
      <w:r>
        <w:t xml:space="preserve">,</w:t>
      </w:r>
      <w:r>
        <w:t xml:space="preserve"> </w:t>
      </w:r>
      <w:r>
        <w:rPr>
          <w:i/>
        </w:rPr>
        <w:t xml:space="preserve">7</w:t>
      </w:r>
      <w:r>
        <w:t xml:space="preserve">. doi:</w:t>
      </w:r>
      <w:r>
        <w:t xml:space="preserve"> </w:t>
      </w:r>
      <w:hyperlink r:id="rId127">
        <w:r>
          <w:rPr>
            <w:rStyle w:val="InternetLink"/>
          </w:rPr>
          <w:t xml:space="preserve">10.1371/journal.pone.0037135</w:t>
        </w:r>
      </w:hyperlink>
      <w:r>
        <w:t xml:space="preserve">.</w:t>
      </w:r>
    </w:p>
    <w:bookmarkEnd w:id="128"/>
    <w:bookmarkStart w:id="130" w:name="X7e5d3b19ecae1eb3c11e14192d9ddf88629ea2e"/>
    <w:p>
      <w:pPr>
        <w:pStyle w:val="Bibliography"/>
      </w:pPr>
      <w:r>
        <w:t xml:space="preserve">37.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9">
        <w:r>
          <w:rPr>
            <w:rStyle w:val="InternetLink"/>
          </w:rPr>
          <w:t xml:space="preserve">10.1371/journal.pone.0019379</w:t>
        </w:r>
      </w:hyperlink>
      <w:r>
        <w:t xml:space="preserve">.</w:t>
      </w:r>
    </w:p>
    <w:bookmarkEnd w:id="130"/>
    <w:bookmarkStart w:id="132" w:name="Xfbd0c67c15d346e617f4ca50602329f9f0e598a"/>
    <w:p>
      <w:pPr>
        <w:pStyle w:val="Bibliography"/>
      </w:pPr>
      <w:r>
        <w:t xml:space="preserve">38. Dodds, K.G.; McEwan, J.C.; Brauning, R.; Anderson, R.M.; van Stijn, T.C.; Kristjánsson, T.; Clarke, S.M. Construction of relatedness matrices using genotyping-by-sequencing data.</w:t>
      </w:r>
      <w:r>
        <w:t xml:space="preserve"> </w:t>
      </w:r>
      <w:r>
        <w:rPr>
          <w:i/>
        </w:rPr>
        <w:t xml:space="preserve">BMC Genomics</w:t>
      </w:r>
      <w:r>
        <w:t xml:space="preserve"> </w:t>
      </w:r>
      <w:r>
        <w:rPr>
          <w:b/>
        </w:rPr>
        <w:t xml:space="preserve">2015</w:t>
      </w:r>
      <w:r>
        <w:t xml:space="preserve">,</w:t>
      </w:r>
      <w:r>
        <w:t xml:space="preserve"> </w:t>
      </w:r>
      <w:r>
        <w:rPr>
          <w:i/>
        </w:rPr>
        <w:t xml:space="preserve">16</w:t>
      </w:r>
      <w:r>
        <w:t xml:space="preserve">, 1047. doi:</w:t>
      </w:r>
      <w:r>
        <w:t xml:space="preserve"> </w:t>
      </w:r>
      <w:hyperlink r:id="rId131">
        <w:r>
          <w:rPr>
            <w:rStyle w:val="InternetLink"/>
          </w:rPr>
          <w:t xml:space="preserve">10.1186/s12864-015-2252-3</w:t>
        </w:r>
      </w:hyperlink>
      <w:r>
        <w:t xml:space="preserve">.</w:t>
      </w:r>
    </w:p>
    <w:bookmarkEnd w:id="132"/>
    <w:bookmarkStart w:id="134" w:name="ref-catchenStacksAnalysisTool2013"/>
    <w:p>
      <w:pPr>
        <w:pStyle w:val="Bibliography"/>
      </w:pPr>
      <w:r>
        <w:t xml:space="preserve">39. Catchen, J.; Hohenlohe, P.A.; Bassham, S.; Amores, A.; Cresko, W.A. Stacks: an analysis tool set for population genomics.</w:t>
      </w:r>
      <w:r>
        <w:t xml:space="preserve"> </w:t>
      </w:r>
      <w:r>
        <w:rPr>
          <w:i/>
        </w:rPr>
        <w:t xml:space="preserve">Mol Ecol</w:t>
      </w:r>
      <w:r>
        <w:t xml:space="preserve"> </w:t>
      </w:r>
      <w:r>
        <w:rPr>
          <w:b/>
        </w:rPr>
        <w:t xml:space="preserve">2013</w:t>
      </w:r>
      <w:r>
        <w:t xml:space="preserve">,</w:t>
      </w:r>
      <w:r>
        <w:t xml:space="preserve"> </w:t>
      </w:r>
      <w:r>
        <w:rPr>
          <w:i/>
        </w:rPr>
        <w:t xml:space="preserve">22</w:t>
      </w:r>
      <w:r>
        <w:t xml:space="preserve">, 3124–3140. doi:</w:t>
      </w:r>
      <w:r>
        <w:t xml:space="preserve"> </w:t>
      </w:r>
      <w:hyperlink r:id="rId133">
        <w:r>
          <w:rPr>
            <w:rStyle w:val="InternetLink"/>
          </w:rPr>
          <w:t xml:space="preserve">10.1111/mec.12354</w:t>
        </w:r>
      </w:hyperlink>
      <w:r>
        <w:t xml:space="preserve">.</w:t>
      </w:r>
    </w:p>
    <w:bookmarkEnd w:id="134"/>
    <w:bookmarkStart w:id="136" w:name="ref-changSecondgenerationPLINKRising2015"/>
    <w:p>
      <w:pPr>
        <w:pStyle w:val="Bibliography"/>
      </w:pPr>
      <w:r>
        <w:t xml:space="preserve">40.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35">
        <w:r>
          <w:rPr>
            <w:rStyle w:val="InternetLink"/>
          </w:rPr>
          <w:t xml:space="preserve">10.1186/s13742-015-0047-8</w:t>
        </w:r>
      </w:hyperlink>
      <w:r>
        <w:t xml:space="preserve">.</w:t>
      </w:r>
    </w:p>
    <w:bookmarkEnd w:id="136"/>
    <w:bookmarkStart w:id="138" w:name="Xf16f5f4cbf3509fd4e35538a6319338d9577d4b"/>
    <w:p>
      <w:pPr>
        <w:pStyle w:val="Bibliography"/>
      </w:pPr>
      <w:r>
        <w:t xml:space="preserve">41.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37">
        <w:r>
          <w:rPr>
            <w:rStyle w:val="InternetLink"/>
          </w:rPr>
          <w:t xml:space="preserve">10.1186/1471-2156-11-94</w:t>
        </w:r>
      </w:hyperlink>
      <w:r>
        <w:t xml:space="preserve">.</w:t>
      </w:r>
    </w:p>
    <w:bookmarkEnd w:id="138"/>
    <w:bookmarkStart w:id="140" w:name="X944291a5f5944668f7560c568ae824042b83be9"/>
    <w:p>
      <w:pPr>
        <w:pStyle w:val="Bibliography"/>
      </w:pPr>
      <w:r>
        <w:t xml:space="preserve">42. R Core Team R: A Language and Environment for Statistical Computing.</w:t>
      </w:r>
      <w:r>
        <w:t xml:space="preserve"> </w:t>
      </w:r>
      <w:r>
        <w:rPr>
          <w:b/>
        </w:rPr>
        <w:t xml:space="preserve">2015</w:t>
      </w:r>
      <w:r>
        <w:t xml:space="preserve">. Retrieved from</w:t>
      </w:r>
      <w:r>
        <w:t xml:space="preserve"> </w:t>
      </w:r>
      <w:hyperlink r:id="rId139">
        <w:r>
          <w:rPr>
            <w:rStyle w:val="InternetLink"/>
          </w:rPr>
          <w:t xml:space="preserve">http://www.R-project.org/</w:t>
        </w:r>
      </w:hyperlink>
      <w:r>
        <w:t xml:space="preserve">.</w:t>
      </w:r>
    </w:p>
    <w:bookmarkEnd w:id="140"/>
    <w:bookmarkStart w:id="142" w:name="ref-lischerPGDSpiderAutomatedData2012"/>
    <w:p>
      <w:pPr>
        <w:pStyle w:val="Bibliography"/>
      </w:pPr>
      <w:r>
        <w:t xml:space="preserve">43.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41">
        <w:r>
          <w:rPr>
            <w:rStyle w:val="InternetLink"/>
          </w:rPr>
          <w:t xml:space="preserve">10.1093/bioinformatics/btr642</w:t>
        </w:r>
      </w:hyperlink>
      <w:r>
        <w:t xml:space="preserve">.</w:t>
      </w:r>
    </w:p>
    <w:bookmarkEnd w:id="142"/>
    <w:bookmarkStart w:id="144" w:name="ref-follGenomeScanMethodIdentify2008"/>
    <w:p>
      <w:pPr>
        <w:pStyle w:val="Bibliography"/>
      </w:pPr>
      <w:r>
        <w:t xml:space="preserve">44.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43">
        <w:r>
          <w:rPr>
            <w:rStyle w:val="InternetLink"/>
          </w:rPr>
          <w:t xml:space="preserve">10.1534/genetics.108.092221</w:t>
        </w:r>
      </w:hyperlink>
      <w:r>
        <w:t xml:space="preserve">.</w:t>
      </w:r>
    </w:p>
    <w:bookmarkEnd w:id="144"/>
    <w:bookmarkStart w:id="146" w:name="X558db7f706eb8c58d07748d989cb3b57ad63663"/>
    <w:p>
      <w:pPr>
        <w:pStyle w:val="Bibliography"/>
      </w:pPr>
      <w:r>
        <w:t xml:space="preserve">45.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45">
        <w:r>
          <w:rPr>
            <w:rStyle w:val="InternetLink"/>
          </w:rPr>
          <w:t xml:space="preserve">10.1111/1755-0998.12634</w:t>
        </w:r>
      </w:hyperlink>
      <w:r>
        <w:t xml:space="preserve">.</w:t>
      </w:r>
    </w:p>
    <w:bookmarkEnd w:id="146"/>
    <w:bookmarkStart w:id="148" w:name="X1181bd8a553d276a10477cca76492dcf5bcc67e"/>
    <w:p>
      <w:pPr>
        <w:pStyle w:val="Bibliography"/>
      </w:pPr>
      <w:r>
        <w:t xml:space="preserve">46.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47">
        <w:r>
          <w:rPr>
            <w:rStyle w:val="InternetLink"/>
          </w:rPr>
          <w:t xml:space="preserve">10.1371/journal.pgen.1003905</w:t>
        </w:r>
      </w:hyperlink>
      <w:r>
        <w:t xml:space="preserve">.</w:t>
      </w:r>
    </w:p>
    <w:bookmarkEnd w:id="148"/>
    <w:bookmarkStart w:id="150" w:name="ref-akaikeNewLookStatistical1974"/>
    <w:p>
      <w:pPr>
        <w:pStyle w:val="Bibliography"/>
      </w:pPr>
      <w:r>
        <w:t xml:space="preserve">47. Akaike, H. A new look at the statistical model identification.</w:t>
      </w:r>
      <w:r>
        <w:t xml:space="preserve"> </w:t>
      </w:r>
      <w:r>
        <w:rPr>
          <w:i/>
        </w:rPr>
        <w:t xml:space="preserve">IEEE Transactions on Automatic Control</w:t>
      </w:r>
      <w:r>
        <w:t xml:space="preserve"> </w:t>
      </w:r>
      <w:r>
        <w:rPr>
          <w:b/>
        </w:rPr>
        <w:t xml:space="preserve">1974</w:t>
      </w:r>
      <w:r>
        <w:t xml:space="preserve">,</w:t>
      </w:r>
      <w:r>
        <w:t xml:space="preserve"> </w:t>
      </w:r>
      <w:r>
        <w:rPr>
          <w:i/>
        </w:rPr>
        <w:t xml:space="preserve">19</w:t>
      </w:r>
      <w:r>
        <w:t xml:space="preserve">, 716–723. doi:</w:t>
      </w:r>
      <w:r>
        <w:t xml:space="preserve"> </w:t>
      </w:r>
      <w:hyperlink r:id="rId149">
        <w:r>
          <w:rPr>
            <w:rStyle w:val="InternetLink"/>
          </w:rPr>
          <w:t xml:space="preserve">10.1109/TAC.1974.1100705</w:t>
        </w:r>
      </w:hyperlink>
      <w:r>
        <w:t xml:space="preserve">.</w:t>
      </w:r>
    </w:p>
    <w:bookmarkEnd w:id="150"/>
    <w:bookmarkStart w:id="152" w:name="X2e700f92c6894ae11db64f79d26700cf6bc7cef"/>
    <w:p>
      <w:pPr>
        <w:pStyle w:val="Bibliography"/>
      </w:pPr>
      <w:r>
        <w:t xml:space="preserve">48.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51">
        <w:r>
          <w:rPr>
            <w:rStyle w:val="InternetLink"/>
          </w:rPr>
          <w:t xml:space="preserve">10.1093/bioinformatics/bts480</w:t>
        </w:r>
      </w:hyperlink>
      <w:r>
        <w:t xml:space="preserve">.</w:t>
      </w:r>
    </w:p>
    <w:bookmarkEnd w:id="152"/>
    <w:bookmarkStart w:id="154" w:name="X86f5b1c0410ab16c725f5c26d810badc87f678c"/>
    <w:p>
      <w:pPr>
        <w:pStyle w:val="Bibliography"/>
      </w:pPr>
      <w:r>
        <w:t xml:space="preserve">49.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53">
        <w:r>
          <w:rPr>
            <w:rStyle w:val="InternetLink"/>
          </w:rPr>
          <w:t xml:space="preserve">10.1371/journal.pone.0177459</w:t>
        </w:r>
      </w:hyperlink>
      <w:r>
        <w:t xml:space="preserve">.</w:t>
      </w:r>
    </w:p>
    <w:bookmarkEnd w:id="154"/>
    <w:bookmarkStart w:id="156" w:name="X259490a536993ee18fe42d2f01f35b49a29d243"/>
    <w:p>
      <w:pPr>
        <w:pStyle w:val="Bibliography"/>
      </w:pPr>
      <w:r>
        <w:t xml:space="preserve">50.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55">
        <w:r>
          <w:rPr>
            <w:rStyle w:val="InternetLink"/>
          </w:rPr>
          <w:t xml:space="preserve">10.1038/nature06250</w:t>
        </w:r>
      </w:hyperlink>
      <w:r>
        <w:t xml:space="preserve">.</w:t>
      </w:r>
    </w:p>
    <w:bookmarkEnd w:id="156"/>
    <w:bookmarkStart w:id="158" w:name="ref-gautierRehhPackageDetect2012"/>
    <w:p>
      <w:pPr>
        <w:pStyle w:val="Bibliography"/>
      </w:pPr>
      <w:r>
        <w:t xml:space="preserve">51.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57">
        <w:r>
          <w:rPr>
            <w:rStyle w:val="InternetLink"/>
          </w:rPr>
          <w:t xml:space="preserve">10.1093/bioinformatics/bts115</w:t>
        </w:r>
      </w:hyperlink>
      <w:r>
        <w:t xml:space="preserve">.</w:t>
      </w:r>
    </w:p>
    <w:bookmarkEnd w:id="158"/>
    <w:bookmarkStart w:id="160" w:name="ref-brookingSilencesGrassRetrieving2007"/>
    <w:p>
      <w:pPr>
        <w:pStyle w:val="Bibliography"/>
      </w:pPr>
      <w:r>
        <w:t xml:space="preserve">52. Brooking, T.; Pawson, E. Silences of Grass: Retrieving the Role of Pasture Plants in the Development of New Zealand and the British Empire.</w:t>
      </w:r>
      <w:r>
        <w:t xml:space="preserve"> </w:t>
      </w:r>
      <w:r>
        <w:rPr>
          <w:i/>
        </w:rPr>
        <w:t xml:space="preserve">The Journal of Imperial and Commonwealth History</w:t>
      </w:r>
      <w:r>
        <w:t xml:space="preserve"> </w:t>
      </w:r>
      <w:r>
        <w:rPr>
          <w:b/>
        </w:rPr>
        <w:t xml:space="preserve">2007</w:t>
      </w:r>
      <w:r>
        <w:t xml:space="preserve">,</w:t>
      </w:r>
      <w:r>
        <w:t xml:space="preserve"> </w:t>
      </w:r>
      <w:r>
        <w:rPr>
          <w:i/>
        </w:rPr>
        <w:t xml:space="preserve">35</w:t>
      </w:r>
      <w:r>
        <w:t xml:space="preserve">, 417–435. doi:</w:t>
      </w:r>
      <w:r>
        <w:t xml:space="preserve"> </w:t>
      </w:r>
      <w:hyperlink r:id="rId159">
        <w:r>
          <w:rPr>
            <w:rStyle w:val="InternetLink"/>
          </w:rPr>
          <w:t xml:space="preserve">10.1080/03086530701523406</w:t>
        </w:r>
      </w:hyperlink>
      <w:r>
        <w:t xml:space="preserve">.</w:t>
      </w:r>
    </w:p>
    <w:bookmarkEnd w:id="160"/>
    <w:bookmarkStart w:id="162" w:name="X9fa862798d3749e81f2326cd887be723121f572"/>
    <w:p>
      <w:pPr>
        <w:pStyle w:val="Bibliography"/>
      </w:pPr>
      <w:r>
        <w:t xml:space="preserve">53.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61">
        <w:r>
          <w:rPr>
            <w:rStyle w:val="InternetLink"/>
          </w:rPr>
          <w:t xml:space="preserve">10.1016/0169-5347(94)90079-5</w:t>
        </w:r>
      </w:hyperlink>
      <w:r>
        <w:t xml:space="preserve">.</w:t>
      </w:r>
    </w:p>
    <w:bookmarkEnd w:id="162"/>
    <w:bookmarkStart w:id="164" w:name="ref-greenCisTransactingVariants2019"/>
    <w:p>
      <w:pPr>
        <w:pStyle w:val="Bibliography"/>
      </w:pPr>
      <w:r>
        <w:t xml:space="preserve">54.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 melanogaster</w:t>
      </w:r>
      <w:r>
        <w:t xml:space="preserve"> </w:t>
      </w:r>
      <w:r>
        <w:t xml:space="preserve">population exposed to ryanoid insecticides.</w:t>
      </w:r>
      <w:r>
        <w:t xml:space="preserve"> </w:t>
      </w:r>
      <w:r>
        <w:rPr>
          <w:i/>
        </w:rPr>
        <w:t xml:space="preserve">PNAS</w:t>
      </w:r>
      <w:r>
        <w:t xml:space="preserve"> </w:t>
      </w:r>
      <w:r>
        <w:rPr>
          <w:b/>
        </w:rPr>
        <w:t xml:space="preserve">2019</w:t>
      </w:r>
      <w:r>
        <w:t xml:space="preserve">, 201821713. doi:</w:t>
      </w:r>
      <w:r>
        <w:t xml:space="preserve"> </w:t>
      </w:r>
      <w:hyperlink r:id="rId163">
        <w:r>
          <w:rPr>
            <w:rStyle w:val="InternetLink"/>
          </w:rPr>
          <w:t xml:space="preserve">10.1073/pnas.1821713116</w:t>
        </w:r>
      </w:hyperlink>
      <w:r>
        <w:t xml:space="preserve">.</w:t>
      </w:r>
    </w:p>
    <w:bookmarkEnd w:id="164"/>
    <w:bookmarkStart w:id="166" w:name="ref-vegaDraftGenomeMost2015"/>
    <w:p>
      <w:pPr>
        <w:pStyle w:val="Bibliography"/>
      </w:pPr>
      <w:r>
        <w:t xml:space="preserve">55. Vega, F.E.; Brown, S.M.; Chen, H.; Shen, E.; Nair, M.B.; Ceja-Navarro, J.A.; Brodie, E.L.; Infante, F.; Dowd, P.F.; Pain, A. Draft genome of the most devastating insect pest of coffee worldwide: the coffee berry borer,</w:t>
      </w:r>
      <w:r>
        <w:t xml:space="preserve"> </w:t>
      </w:r>
      <w:r>
        <w:rPr>
          <w:i/>
        </w:rPr>
        <w:t xml:space="preserve">Hypothenemus 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65">
        <w:r>
          <w:rPr>
            <w:rStyle w:val="InternetLink"/>
          </w:rPr>
          <w:t xml:space="preserve">10.1038/srep12525</w:t>
        </w:r>
      </w:hyperlink>
      <w:r>
        <w:t xml:space="preserve">.</w:t>
      </w:r>
    </w:p>
    <w:bookmarkEnd w:id="166"/>
    <w:bookmarkStart w:id="168" w:name="ref-keelingDraftGenomeMountain2013"/>
    <w:p>
      <w:pPr>
        <w:pStyle w:val="Bibliography"/>
      </w:pPr>
      <w:r>
        <w:t xml:space="preserve">56. Keeling, C.I.; Yuen, M.M.; Liao, N.Y.; Roderick Docking, T.; Chan, S.K.; Taylor, G.A.; Palmquist, D.L.; Jackman, S.D.; Nguyen, A.; Li, M. et al. Draft genome of the mountain pine beetle,</w:t>
      </w:r>
      <w:r>
        <w:t xml:space="preserve"> </w:t>
      </w:r>
      <w:r>
        <w:rPr>
          <w:i/>
        </w:rPr>
        <w:t xml:space="preserve">Dendroctonus 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67">
        <w:r>
          <w:rPr>
            <w:rStyle w:val="InternetLink"/>
          </w:rPr>
          <w:t xml:space="preserve">10.1186/gb-2013-14-3-r27</w:t>
        </w:r>
      </w:hyperlink>
      <w:r>
        <w:t xml:space="preserve">.</w:t>
      </w:r>
    </w:p>
    <w:bookmarkEnd w:id="168"/>
    <w:bookmarkEnd w:id="169"/>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image" Id="rId49" Target="media/rId49.pdf" /><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68"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70"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_rels/footnotes.xml.rels><?xml version="1.0" encoding="UTF-8"?>
<Relationships xmlns="http://schemas.openxmlformats.org/package/2006/relationships"><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68"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70"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2020-06-03T04:12:43Z</dcterms:created>
  <dcterms:modified xsi:type="dcterms:W3CDTF">2020-06-03T04:12:43Z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ref/ASW.yaml</vt:lpwstr>
  </property>
  <property fmtid="{D5CDD505-2E9C-101B-9397-08002B2CF9AE}" pid="3" name="csl">
    <vt:lpwstr>ref/insects_doi.csl</vt:lpwstr>
  </property>
</Properties>
</file>